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32D32" w14:textId="77777777" w:rsidR="009B4F24" w:rsidRDefault="009B4F24" w:rsidP="009B4F24">
      <w:pPr>
        <w:pStyle w:val="1"/>
        <w:numPr>
          <w:ilvl w:val="0"/>
          <w:numId w:val="1"/>
        </w:numPr>
        <w:shd w:val="clear" w:color="auto" w:fill="D9E2F3" w:themeFill="accent1" w:themeFillTint="33"/>
        <w:tabs>
          <w:tab w:val="left" w:pos="284"/>
        </w:tabs>
        <w:ind w:left="0" w:firstLine="0"/>
        <w:jc w:val="center"/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</w:pPr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ԿՏՄ</w:t>
      </w:r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որակի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ապահովման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բաժնի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կողմից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յուրաքանչյուր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եռամսյակ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կառավարման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խորհրդի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հաստատմանը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ներկայացված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ԿՏՄ</w:t>
      </w:r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գործունեության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կատարողականի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գնահատման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արդյունքների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հիման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վրա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կազմված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ամփոփ</w:t>
      </w:r>
      <w:proofErr w:type="spellEnd"/>
      <w:r>
        <w:rPr>
          <w:rFonts w:ascii="GHEA Grapalat" w:hAnsi="GHEA Grapalat"/>
          <w:i/>
          <w:color w:val="222A35" w:themeColor="text2" w:themeShade="8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i/>
          <w:color w:val="222A35" w:themeColor="text2" w:themeShade="80"/>
          <w:sz w:val="24"/>
          <w:szCs w:val="24"/>
        </w:rPr>
        <w:t>տեղեկատվություն</w:t>
      </w:r>
      <w:proofErr w:type="spellEnd"/>
    </w:p>
    <w:p w14:paraId="6329968E" w14:textId="77777777" w:rsidR="009B4F24" w:rsidRDefault="009B4F24" w:rsidP="009B4F24">
      <w:pPr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Տեսչական մարմնի կատարողականի գնահատումը կատարվել է՝ հիմք ընդունելով Տեսչական մարմինների մասին 2014 թվականի դեկտեմբերի 17-ի ՀՕ-254-Ն օրենքի 11-րդ հոդվածի պահանջների և Հայաստանի Հանրապետության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2015 թվականի հունիսի 25-ի Տեսչական մարմինների գործունեության կատարողականի գնահատման սկզբունքները, չափորոշիչները և կարգը հաստատելու մասին N 693-Ն որոշման հիման վրա կազմված կատարողականի գնահատման մեթոդ</w:t>
      </w:r>
      <w:proofErr w:type="spellStart"/>
      <w:r>
        <w:rPr>
          <w:rFonts w:ascii="GHEA Grapalat" w:hAnsi="GHEA Grapalat"/>
          <w:sz w:val="24"/>
          <w:szCs w:val="24"/>
        </w:rPr>
        <w:t>աբանությունը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։  </w:t>
      </w:r>
    </w:p>
    <w:p w14:paraId="4D81A9B1" w14:textId="77777777" w:rsidR="009B4F24" w:rsidRDefault="009B4F24" w:rsidP="009B4F24">
      <w:pPr>
        <w:spacing w:after="0"/>
        <w:rPr>
          <w:rFonts w:ascii="GHEA Grapalat" w:hAnsi="GHEA Grapalat"/>
          <w:b/>
          <w:bCs/>
          <w:color w:val="222A35" w:themeColor="text2" w:themeShade="80"/>
          <w:sz w:val="24"/>
          <w:szCs w:val="24"/>
          <w:u w:val="single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         </w:t>
      </w:r>
      <w:r>
        <w:rPr>
          <w:rFonts w:ascii="GHEA Grapalat" w:hAnsi="GHEA Grapalat"/>
          <w:b/>
          <w:bCs/>
          <w:color w:val="222A35" w:themeColor="text2" w:themeShade="80"/>
          <w:sz w:val="24"/>
          <w:szCs w:val="24"/>
          <w:u w:val="single"/>
          <w:lang w:val="hy-AM"/>
        </w:rPr>
        <w:t>Տեսչական մարմնի կատարողականի գնահատման չափորոշիչներն են՝</w:t>
      </w:r>
    </w:p>
    <w:p w14:paraId="0257B88E" w14:textId="77777777" w:rsidR="009B4F24" w:rsidRDefault="009B4F24" w:rsidP="009B4F24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նպատակի չափորոշիչներ</w:t>
      </w:r>
      <w:r>
        <w:rPr>
          <w:rFonts w:ascii="GHEA Grapalat" w:hAnsi="GHEA Grapalat"/>
          <w:sz w:val="24"/>
          <w:szCs w:val="24"/>
        </w:rPr>
        <w:t>.</w:t>
      </w:r>
    </w:p>
    <w:p w14:paraId="7A4FDD79" w14:textId="77777777" w:rsidR="009B4F24" w:rsidRDefault="009B4F24" w:rsidP="009B4F24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գործընթացի չափորոշիչներ</w:t>
      </w:r>
      <w:r>
        <w:rPr>
          <w:rFonts w:ascii="GHEA Grapalat" w:hAnsi="GHEA Grapalat"/>
          <w:sz w:val="24"/>
          <w:szCs w:val="24"/>
        </w:rPr>
        <w:t>.</w:t>
      </w:r>
    </w:p>
    <w:p w14:paraId="64F06C82" w14:textId="77777777" w:rsidR="009B4F24" w:rsidRDefault="009B4F24" w:rsidP="009B4F24">
      <w:pPr>
        <w:numPr>
          <w:ilvl w:val="0"/>
          <w:numId w:val="2"/>
        </w:numPr>
        <w:tabs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արդյունքի չափորոշիչներ։</w:t>
      </w:r>
    </w:p>
    <w:p w14:paraId="767FAA3D" w14:textId="77777777" w:rsidR="009B4F24" w:rsidRDefault="009B4F24" w:rsidP="009B4F24">
      <w:pPr>
        <w:spacing w:after="0"/>
        <w:ind w:firstLine="567"/>
        <w:jc w:val="both"/>
      </w:pPr>
    </w:p>
    <w:p w14:paraId="1AB2DF66" w14:textId="77777777" w:rsidR="009B4F24" w:rsidRDefault="009B4F24" w:rsidP="009B4F24">
      <w:pPr>
        <w:pStyle w:val="a6"/>
        <w:numPr>
          <w:ilvl w:val="0"/>
          <w:numId w:val="3"/>
        </w:numPr>
        <w:shd w:val="clear" w:color="auto" w:fill="FFFFFF"/>
        <w:tabs>
          <w:tab w:val="left" w:pos="851"/>
        </w:tabs>
        <w:ind w:left="142" w:firstLine="425"/>
        <w:rPr>
          <w:rFonts w:ascii="GHEA Grapalat" w:hAnsi="GHEA Grapalat"/>
          <w:b/>
          <w:i/>
          <w:iCs/>
          <w:color w:val="222A35" w:themeColor="text2" w:themeShade="80"/>
          <w:sz w:val="28"/>
          <w:szCs w:val="28"/>
          <w:u w:val="single"/>
          <w:lang w:val="hy-AM"/>
        </w:rPr>
      </w:pPr>
      <w:r>
        <w:rPr>
          <w:rFonts w:ascii="GHEA Grapalat" w:hAnsi="GHEA Grapalat"/>
          <w:b/>
          <w:i/>
          <w:iCs/>
          <w:color w:val="222A35" w:themeColor="text2" w:themeShade="80"/>
          <w:sz w:val="28"/>
          <w:szCs w:val="28"/>
          <w:u w:val="single"/>
          <w:lang w:val="hy-AM"/>
        </w:rPr>
        <w:t>Ն</w:t>
      </w:r>
      <w:proofErr w:type="spellStart"/>
      <w:r>
        <w:rPr>
          <w:rFonts w:ascii="GHEA Grapalat" w:hAnsi="GHEA Grapalat"/>
          <w:b/>
          <w:i/>
          <w:iCs/>
          <w:color w:val="222A35" w:themeColor="text2" w:themeShade="80"/>
          <w:sz w:val="28"/>
          <w:szCs w:val="28"/>
          <w:u w:val="single"/>
        </w:rPr>
        <w:t>պատակի</w:t>
      </w:r>
      <w:proofErr w:type="spellEnd"/>
      <w:r>
        <w:rPr>
          <w:rFonts w:ascii="GHEA Grapalat" w:hAnsi="GHEA Grapalat"/>
          <w:b/>
          <w:i/>
          <w:iCs/>
          <w:color w:val="222A35" w:themeColor="text2" w:themeShade="80"/>
          <w:sz w:val="28"/>
          <w:szCs w:val="28"/>
          <w:u w:val="single"/>
        </w:rPr>
        <w:t xml:space="preserve"> </w:t>
      </w:r>
      <w:proofErr w:type="spellStart"/>
      <w:r>
        <w:rPr>
          <w:rFonts w:ascii="GHEA Grapalat" w:hAnsi="GHEA Grapalat"/>
          <w:b/>
          <w:i/>
          <w:iCs/>
          <w:color w:val="222A35" w:themeColor="text2" w:themeShade="80"/>
          <w:sz w:val="28"/>
          <w:szCs w:val="28"/>
          <w:u w:val="single"/>
        </w:rPr>
        <w:t>չափորոշիչներ</w:t>
      </w:r>
      <w:proofErr w:type="spellEnd"/>
    </w:p>
    <w:p w14:paraId="5B30FBA2" w14:textId="77777777" w:rsidR="009B4F24" w:rsidRDefault="009B4F24" w:rsidP="009B4F24">
      <w:pPr>
        <w:shd w:val="clear" w:color="auto" w:fill="FFFFFF"/>
        <w:spacing w:after="0"/>
        <w:ind w:firstLine="567"/>
        <w:jc w:val="center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1325CCF" w14:textId="77777777" w:rsidR="009B4F24" w:rsidRDefault="009B4F24" w:rsidP="009B4F24">
      <w:pPr>
        <w:numPr>
          <w:ilvl w:val="1"/>
          <w:numId w:val="3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Տեսչական մարմնի գործունեության հիմնական նպատակին հասնելու մակարդակը</w:t>
      </w:r>
      <w:r>
        <w:rPr>
          <w:rFonts w:ascii="GHEA Grapalat" w:hAnsi="GHEA Grapalat"/>
          <w:sz w:val="24"/>
          <w:szCs w:val="24"/>
          <w:lang w:val="hy-AM"/>
        </w:rPr>
        <w:t xml:space="preserve"> գնահատելու համար յուրաքանչյուր ոլորտի համար վերլուծվել է հաշվետու ժամանակահատվածում տեսչական մարմնի կողմից իրականացված ստուգումների արդյունքում հայտնաբերված խախտումների ընդհանուր կշիռը: </w:t>
      </w:r>
    </w:p>
    <w:p w14:paraId="041F1458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Տեսչական մարմնի գործունեության հիմնական նպատակին հասնելու մակարդակի գնահատումը կատարվում է հաշվետու ժամանակահատվածում իրականացված ստուգումների արդյունքում հայտնաբերված խախտումների կշիռների հանրագումարի և վերահսկողության ընթացքում նախատեսված ստուգաթերթերի ընդհանուր կշիռների հանրագումարի հարաբերությամբ (աղյուսակ 1)։</w:t>
      </w:r>
    </w:p>
    <w:p w14:paraId="375C2EB7" w14:textId="77777777" w:rsidR="009B4F24" w:rsidRDefault="009B4F24" w:rsidP="009B4F24">
      <w:pPr>
        <w:shd w:val="clear" w:color="auto" w:fill="FFFFFF"/>
        <w:spacing w:after="0"/>
        <w:ind w:firstLine="567"/>
        <w:jc w:val="right"/>
        <w:rPr>
          <w:rFonts w:ascii="GHEA Grapalat" w:hAnsi="GHEA Grapalat"/>
          <w:b/>
          <w:bCs/>
          <w:color w:val="1F3864" w:themeColor="accent1" w:themeShade="80"/>
          <w:sz w:val="20"/>
          <w:szCs w:val="20"/>
          <w:u w:val="single"/>
        </w:rPr>
      </w:pPr>
      <w:proofErr w:type="spellStart"/>
      <w:r>
        <w:rPr>
          <w:rFonts w:ascii="GHEA Grapalat" w:hAnsi="GHEA Grapalat"/>
          <w:b/>
          <w:bCs/>
          <w:color w:val="1F3864" w:themeColor="accent1" w:themeShade="80"/>
          <w:sz w:val="20"/>
          <w:szCs w:val="20"/>
          <w:u w:val="single"/>
        </w:rPr>
        <w:t>Աղյուսակ</w:t>
      </w:r>
      <w:proofErr w:type="spellEnd"/>
      <w:r>
        <w:rPr>
          <w:rFonts w:ascii="GHEA Grapalat" w:hAnsi="GHEA Grapalat"/>
          <w:b/>
          <w:bCs/>
          <w:color w:val="1F3864" w:themeColor="accent1" w:themeShade="80"/>
          <w:sz w:val="20"/>
          <w:szCs w:val="20"/>
          <w:u w:val="single"/>
        </w:rPr>
        <w:t xml:space="preserve"> 1</w:t>
      </w:r>
    </w:p>
    <w:tbl>
      <w:tblPr>
        <w:tblStyle w:val="a8"/>
        <w:tblW w:w="9780" w:type="dxa"/>
        <w:tblInd w:w="421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409"/>
        <w:gridCol w:w="2268"/>
        <w:gridCol w:w="965"/>
        <w:gridCol w:w="878"/>
        <w:gridCol w:w="992"/>
        <w:gridCol w:w="1134"/>
        <w:gridCol w:w="1134"/>
      </w:tblGrid>
      <w:tr w:rsidR="009B4F24" w14:paraId="4CEE7A36" w14:textId="77777777" w:rsidTr="009B4F24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78F109" w14:textId="77777777" w:rsidR="009B4F24" w:rsidRDefault="009B4F24">
            <w:pPr>
              <w:pStyle w:val="a6"/>
              <w:spacing w:line="276" w:lineRule="auto"/>
              <w:ind w:left="0"/>
              <w:jc w:val="both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Ցուցանիշ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8C3DCF5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Հաշվետու ժամանակահատված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00720E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ԿՏՄ</w:t>
            </w:r>
          </w:p>
        </w:tc>
        <w:tc>
          <w:tcPr>
            <w:tcW w:w="4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244EC4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Ոլորտ</w:t>
            </w:r>
          </w:p>
        </w:tc>
      </w:tr>
      <w:tr w:rsidR="009B4F24" w14:paraId="7C1BB986" w14:textId="77777777" w:rsidTr="009B4F24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D34E9E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7BFDE9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C88686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DD82F8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Ն/Դ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F63817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Հ/Կ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2D29595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C15D0F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Մ/Մ</w:t>
            </w:r>
          </w:p>
        </w:tc>
      </w:tr>
      <w:tr w:rsidR="009B4F24" w14:paraId="54FDCA55" w14:textId="77777777" w:rsidTr="00D07028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A948E8" w14:textId="77777777" w:rsidR="009B4F24" w:rsidRDefault="009B4F24">
            <w:pPr>
              <w:shd w:val="clear" w:color="auto" w:fill="FFFFFF"/>
              <w:spacing w:after="0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  <w:t xml:space="preserve">Տեսչական մարմնի գործունեության հիմնական նպատակին հասնելու մակարդակը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F5ED69B" w14:textId="55A9C76D" w:rsidR="009B4F24" w:rsidRPr="00D07028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</w:rPr>
              <w:t>202</w:t>
            </w:r>
            <w:r w:rsidR="00D07028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5BC87C" w14:textId="361C7738" w:rsidR="009B4F24" w:rsidRDefault="004D2366">
            <w:pPr>
              <w:pStyle w:val="a6"/>
              <w:spacing w:line="276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26FE29" w14:textId="6053C758" w:rsidR="009B4F24" w:rsidRDefault="00D07028">
            <w:pPr>
              <w:pStyle w:val="a6"/>
              <w:spacing w:line="276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</w:t>
            </w:r>
            <w:r w:rsidR="004D236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F13ED1" w14:textId="0B291257" w:rsidR="009B4F24" w:rsidRDefault="00D07028">
            <w:pPr>
              <w:pStyle w:val="a6"/>
              <w:spacing w:line="276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</w:t>
            </w:r>
            <w:r w:rsidR="004D2366">
              <w:rPr>
                <w:rFonts w:ascii="GHEA Grapalat" w:hAnsi="GHEA Grapalat"/>
                <w:b/>
                <w:sz w:val="20"/>
                <w:szCs w:val="20"/>
                <w:lang w:val="hy-AM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039C2F" w14:textId="7BDA1402" w:rsidR="009B4F24" w:rsidRDefault="004D2366">
            <w:pPr>
              <w:pStyle w:val="a6"/>
              <w:spacing w:line="276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8BA320" w14:textId="12AB51D6" w:rsidR="009B4F24" w:rsidRDefault="004D2366">
            <w:pPr>
              <w:pStyle w:val="a6"/>
              <w:spacing w:line="276" w:lineRule="auto"/>
              <w:ind w:left="0"/>
              <w:jc w:val="both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0,1</w:t>
            </w:r>
          </w:p>
        </w:tc>
      </w:tr>
      <w:tr w:rsidR="00D07028" w14:paraId="1D90E865" w14:textId="77777777" w:rsidTr="009B4F24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47F233" w14:textId="77777777" w:rsidR="00D07028" w:rsidRDefault="00D07028" w:rsidP="00D07028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2367C5" w14:textId="5D40287A" w:rsidR="00D07028" w:rsidRDefault="00D07028" w:rsidP="00D07028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50B0DA" w14:textId="3DFDF5F0" w:rsidR="00D07028" w:rsidRDefault="00D07028" w:rsidP="00D07028">
            <w:pPr>
              <w:pStyle w:val="a6"/>
              <w:spacing w:line="276" w:lineRule="auto"/>
              <w:ind w:left="0"/>
              <w:rPr>
                <w:rFonts w:ascii="GHEA Grapalat" w:hAnsi="GHEA Grapalat"/>
                <w:b/>
                <w:bCs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59D958D" w14:textId="2D530808" w:rsidR="00D07028" w:rsidRDefault="00D07028" w:rsidP="004D2366">
            <w:pPr>
              <w:pStyle w:val="a6"/>
              <w:spacing w:line="276" w:lineRule="auto"/>
              <w:ind w:left="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7F33E4" w14:textId="5CC6BBDB" w:rsidR="00D07028" w:rsidRDefault="00D07028" w:rsidP="004D2366">
            <w:pPr>
              <w:pStyle w:val="a6"/>
              <w:spacing w:line="276" w:lineRule="auto"/>
              <w:ind w:left="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FF67A5C" w14:textId="58693E80" w:rsidR="00D07028" w:rsidRDefault="00D07028" w:rsidP="004D2366">
            <w:pPr>
              <w:pStyle w:val="a6"/>
              <w:spacing w:line="276" w:lineRule="auto"/>
              <w:ind w:left="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C0EEAA" w14:textId="175165E6" w:rsidR="00D07028" w:rsidRDefault="00D07028" w:rsidP="004D2366">
            <w:pPr>
              <w:pStyle w:val="a6"/>
              <w:spacing w:line="276" w:lineRule="auto"/>
              <w:ind w:left="0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0,15</w:t>
            </w:r>
          </w:p>
        </w:tc>
      </w:tr>
    </w:tbl>
    <w:p w14:paraId="5B302F40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2918BCE" w14:textId="77777777" w:rsidR="009B4F24" w:rsidRDefault="009B4F24" w:rsidP="009B4F24">
      <w:pPr>
        <w:numPr>
          <w:ilvl w:val="1"/>
          <w:numId w:val="3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lastRenderedPageBreak/>
        <w:t xml:space="preserve">Ոլորտի առավել ռիսկային բնագավառներում փոփոխությունների առկայությունը </w:t>
      </w:r>
      <w:r>
        <w:rPr>
          <w:rFonts w:ascii="GHEA Grapalat" w:hAnsi="GHEA Grapalat"/>
          <w:sz w:val="24"/>
          <w:szCs w:val="24"/>
          <w:lang w:val="hy-AM"/>
        </w:rPr>
        <w:t xml:space="preserve">գնահատելու համար վերլուծվել է հաշվետու ժամանակահատվածում տեսչական մարմնի կողմից ոլորտի առավել ռիսկային բնագավառներում իրականացված ստուգումների արդյունքում հայտնաբերված խախտումների ընդհանուր կշիռը: </w:t>
      </w:r>
    </w:p>
    <w:p w14:paraId="04AD4AB6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Ոլորտի առավել ռիսկային բնագավառներում փոփոխությունների առկայությունը գնահատվում է հաշվետու ժամանակահատվածում ոլորտի առավել ռիսկային բնագավառներում իրականացված ստուգումների արդյունքում հայտնաբերված խախտումների կշիռների հանրագումարի և վերահսկողության ընթացքում նախատեսված ստուգաթերթերի ընդհանուր կշիռների հանրագումարի հարաբերությամբ (աղյուսակ 2)։</w:t>
      </w:r>
    </w:p>
    <w:p w14:paraId="0717D8AD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8E00CEF" w14:textId="77777777" w:rsidR="009B4F24" w:rsidRDefault="009B4F24" w:rsidP="009B4F24">
      <w:pPr>
        <w:shd w:val="clear" w:color="auto" w:fill="FFFFFF"/>
        <w:spacing w:after="0"/>
        <w:ind w:firstLine="567"/>
        <w:jc w:val="center"/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</w:rPr>
      </w:pP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</w:rPr>
        <w:t>Աղյուսակ</w:t>
      </w:r>
      <w:proofErr w:type="spellEnd"/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</w:rPr>
        <w:t xml:space="preserve"> 2</w:t>
      </w:r>
    </w:p>
    <w:tbl>
      <w:tblPr>
        <w:tblStyle w:val="a8"/>
        <w:tblW w:w="9615" w:type="dxa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554"/>
        <w:gridCol w:w="2410"/>
        <w:gridCol w:w="965"/>
        <w:gridCol w:w="850"/>
        <w:gridCol w:w="851"/>
        <w:gridCol w:w="993"/>
        <w:gridCol w:w="992"/>
      </w:tblGrid>
      <w:tr w:rsidR="009B4F24" w14:paraId="3561B411" w14:textId="77777777" w:rsidTr="009B4F24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5D0D7C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Ցուցանիշ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DB0DA9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Հաշվետու ժամանակահատված</w:t>
            </w: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A7EE68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ԿՏՄ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71AF5F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Ոլորտ</w:t>
            </w:r>
          </w:p>
        </w:tc>
      </w:tr>
      <w:tr w:rsidR="009B4F24" w14:paraId="6BF9BB4B" w14:textId="77777777" w:rsidTr="009B4F24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45CC57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0BCE91E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47F0A1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E71254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B71B9F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Հ/Կ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AB8D63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5BD4A5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Մ/Մ</w:t>
            </w:r>
          </w:p>
        </w:tc>
      </w:tr>
      <w:tr w:rsidR="009B4F24" w14:paraId="069D7561" w14:textId="77777777" w:rsidTr="004D2366"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6932807" w14:textId="77777777" w:rsidR="009B4F24" w:rsidRDefault="009B4F24">
            <w:pPr>
              <w:pStyle w:val="a6"/>
              <w:spacing w:line="276" w:lineRule="auto"/>
              <w:ind w:left="0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Ոլորտի առավել ռիսկային բնագավառներում փոփոխությունների առկայությունը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737115" w14:textId="3153C69D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</w:t>
            </w:r>
            <w:r w:rsidR="004D2366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C5F29F" w14:textId="59D258F3" w:rsidR="009B4F24" w:rsidRDefault="002222B6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hy-AM"/>
              </w:rPr>
            </w:pPr>
            <w:r w:rsidRPr="000F183B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5F975E3" w14:textId="7C970590" w:rsidR="009B4F24" w:rsidRPr="00E6257D" w:rsidRDefault="002222B6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0,00</w:t>
            </w:r>
            <w:r w:rsidR="00C00AE0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2C3AD1" w14:textId="6D96B933" w:rsidR="009B4F24" w:rsidRDefault="002222B6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D923FE" w14:textId="0A035B65" w:rsidR="009B4F24" w:rsidRDefault="002222B6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246865D" w14:textId="5BB4701C" w:rsidR="009B4F24" w:rsidRDefault="002222B6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0,1</w:t>
            </w:r>
          </w:p>
        </w:tc>
      </w:tr>
      <w:tr w:rsidR="004D2366" w14:paraId="0FBF1244" w14:textId="77777777" w:rsidTr="004D2366"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1ACCAAD" w14:textId="77777777" w:rsidR="004D2366" w:rsidRDefault="004D2366" w:rsidP="004D2366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E830C8" w14:textId="2888FC5B" w:rsidR="004D2366" w:rsidRDefault="004D2366" w:rsidP="004D2366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2024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A42BA5" w14:textId="72F48F8A" w:rsidR="004D2366" w:rsidRDefault="004D2366" w:rsidP="004D2366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2B1B40" w14:textId="2B338E9B" w:rsidR="004D2366" w:rsidRDefault="004D2366" w:rsidP="004D2366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C15CF0" w14:textId="73F29251" w:rsidR="004D2366" w:rsidRDefault="004D2366" w:rsidP="004D2366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17323C" w14:textId="3BE42E9A" w:rsidR="004D2366" w:rsidRDefault="004D2366" w:rsidP="004D2366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EF19D7" w14:textId="3BDCA97B" w:rsidR="004D2366" w:rsidRDefault="004D2366" w:rsidP="004D2366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0,15</w:t>
            </w:r>
          </w:p>
        </w:tc>
      </w:tr>
    </w:tbl>
    <w:p w14:paraId="302C8748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374EA10F" w14:textId="77777777" w:rsidR="009B4F24" w:rsidRDefault="009B4F24" w:rsidP="009B4F24">
      <w:pPr>
        <w:numPr>
          <w:ilvl w:val="1"/>
          <w:numId w:val="3"/>
        </w:numPr>
        <w:shd w:val="clear" w:color="auto" w:fill="FFFFFF"/>
        <w:tabs>
          <w:tab w:val="left" w:pos="851"/>
          <w:tab w:val="left" w:pos="993"/>
        </w:tabs>
        <w:spacing w:after="0"/>
        <w:ind w:left="0"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Ռիսկերի պլանավորման, վերլուծության և</w:t>
      </w:r>
      <w:r>
        <w:rPr>
          <w:rFonts w:ascii="Sylfaen" w:hAnsi="Sylfaen"/>
          <w:b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գնահատման</w:t>
      </w:r>
      <w:r>
        <w:rPr>
          <w:rFonts w:ascii="Sylfaen" w:hAnsi="Sylfaen"/>
          <w:b/>
          <w:color w:val="000000"/>
          <w:sz w:val="24"/>
          <w:szCs w:val="24"/>
          <w:lang w:val="hy-AM"/>
        </w:rPr>
        <w:t> 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համար հատկացված ֆինանսական միջոցները և մարդկային ռեսուրսները.</w:t>
      </w:r>
    </w:p>
    <w:p w14:paraId="5EEDC221" w14:textId="39864E21" w:rsidR="00DA23E1" w:rsidRDefault="009B4F24" w:rsidP="00A51204">
      <w:pPr>
        <w:shd w:val="clear" w:color="auto" w:fill="FFFFFF"/>
        <w:spacing w:after="0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202</w:t>
      </w:r>
      <w:r w:rsidR="00DA23E1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>
        <w:rPr>
          <w:rFonts w:ascii="GHEA Grapalat" w:hAnsi="GHEA Grapalat"/>
          <w:color w:val="000000"/>
          <w:sz w:val="24"/>
          <w:szCs w:val="24"/>
          <w:lang w:val="hy-AM"/>
        </w:rPr>
        <w:t>, ինչպես նաև 202</w:t>
      </w:r>
      <w:r w:rsidR="00DA23E1">
        <w:rPr>
          <w:rFonts w:ascii="GHEA Grapalat" w:hAnsi="GHEA Grapalat"/>
          <w:color w:val="000000"/>
          <w:sz w:val="24"/>
          <w:szCs w:val="24"/>
          <w:lang w:val="hy-AM"/>
        </w:rPr>
        <w:t>4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թվականներին ռիսկերի պլանավորման, վերլուծության և գնահատման համար օգտագործվել է ռիսկի գնահատման, ստուգումների պլանավորման և վերլուծությունների վարչության կադրային ներուժը, իսկ ֆինանսական միջոցները՝ վերջիններիս աշխատավարձերը և խրախուսումները։ Այլ լրացուցիչ ֆինանսական </w:t>
      </w:r>
      <w:r w:rsidR="003B49F1">
        <w:rPr>
          <w:rFonts w:ascii="GHEA Grapalat" w:hAnsi="GHEA Grapalat"/>
          <w:color w:val="000000"/>
          <w:sz w:val="24"/>
          <w:szCs w:val="24"/>
          <w:lang w:val="hy-AM"/>
        </w:rPr>
        <w:t>միջոցներ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չեն հատկացվել: Մարդկային ռեսուրսները</w:t>
      </w:r>
      <w:r w:rsidR="00280B7B">
        <w:rPr>
          <w:rFonts w:ascii="GHEA Grapalat" w:hAnsi="GHEA Grapalat"/>
          <w:color w:val="000000"/>
          <w:sz w:val="24"/>
          <w:szCs w:val="24"/>
          <w:lang w:val="hy-AM"/>
        </w:rPr>
        <w:t>,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="00280B7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7775D4">
        <w:rPr>
          <w:rFonts w:ascii="GHEA Grapalat" w:hAnsi="GHEA Grapalat"/>
          <w:color w:val="000000"/>
          <w:sz w:val="24"/>
          <w:szCs w:val="24"/>
          <w:lang w:val="hy-AM"/>
        </w:rPr>
        <w:t>՛</w:t>
      </w:r>
      <w:r w:rsidR="003B49F1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hy-AM"/>
        </w:rPr>
        <w:t>202</w:t>
      </w:r>
      <w:r w:rsidR="00DA23E1">
        <w:rPr>
          <w:rFonts w:ascii="GHEA Grapalat" w:hAnsi="GHEA Grapalat"/>
          <w:color w:val="000000"/>
          <w:sz w:val="24"/>
          <w:szCs w:val="24"/>
          <w:lang w:val="hy-AM"/>
        </w:rPr>
        <w:t>5</w:t>
      </w:r>
      <w:r w:rsidR="004B6593">
        <w:rPr>
          <w:rFonts w:ascii="GHEA Grapalat" w:hAnsi="GHEA Grapalat"/>
          <w:color w:val="000000"/>
          <w:sz w:val="24"/>
          <w:szCs w:val="24"/>
          <w:lang w:val="hy-AM"/>
        </w:rPr>
        <w:t xml:space="preserve">, </w:t>
      </w:r>
      <w:r w:rsidR="00280B7B">
        <w:rPr>
          <w:rFonts w:ascii="GHEA Grapalat" w:hAnsi="GHEA Grapalat"/>
          <w:color w:val="000000"/>
          <w:sz w:val="24"/>
          <w:szCs w:val="24"/>
          <w:lang w:val="hy-AM"/>
        </w:rPr>
        <w:t>և</w:t>
      </w:r>
      <w:r w:rsidR="007775D4">
        <w:rPr>
          <w:rFonts w:ascii="GHEA Grapalat" w:hAnsi="GHEA Grapalat"/>
          <w:color w:val="000000"/>
          <w:sz w:val="24"/>
          <w:szCs w:val="24"/>
          <w:lang w:val="hy-AM"/>
        </w:rPr>
        <w:t>՛</w:t>
      </w:r>
      <w:r w:rsidR="004B6593">
        <w:rPr>
          <w:rFonts w:ascii="GHEA Grapalat" w:hAnsi="GHEA Grapalat"/>
          <w:color w:val="000000"/>
          <w:sz w:val="24"/>
          <w:szCs w:val="24"/>
          <w:lang w:val="hy-AM"/>
        </w:rPr>
        <w:t xml:space="preserve"> 2024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թվականին կազմել է 6 աշխատակից: </w:t>
      </w:r>
    </w:p>
    <w:p w14:paraId="317A25CE" w14:textId="77777777" w:rsidR="00A51204" w:rsidRDefault="00A51204" w:rsidP="00A51204">
      <w:pPr>
        <w:shd w:val="clear" w:color="auto" w:fill="FFFFFF"/>
        <w:spacing w:after="0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2E2898DE" w14:textId="623D6525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bCs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4)</w:t>
      </w:r>
      <w:r>
        <w:rPr>
          <w:rFonts w:ascii="GHEA Grapalat" w:hAnsi="GHEA Grapalat"/>
          <w:b/>
          <w:color w:val="000000"/>
          <w:lang w:val="hy-AM"/>
        </w:rPr>
        <w:t xml:space="preserve">Խորհրդատվության, մեթոդական աջակցության և կանխարգելման միջոցների համար հատկացված ֆինանսական միջոցները և մարդկային ռեսուրսները </w:t>
      </w:r>
      <w:r>
        <w:rPr>
          <w:rFonts w:ascii="GHEA Grapalat" w:hAnsi="GHEA Grapalat"/>
          <w:lang w:val="hy-AM"/>
        </w:rPr>
        <w:t>(աղյուսակ 3).</w:t>
      </w:r>
    </w:p>
    <w:p w14:paraId="667D4B3F" w14:textId="77777777" w:rsidR="009B4F24" w:rsidRDefault="009B4F24" w:rsidP="009B4F24">
      <w:pPr>
        <w:spacing w:after="0"/>
        <w:ind w:firstLine="567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6FBC9E7A" w14:textId="77777777" w:rsidR="009B4F24" w:rsidRDefault="009B4F24" w:rsidP="009B4F24">
      <w:pPr>
        <w:spacing w:after="0"/>
        <w:ind w:firstLine="567"/>
        <w:jc w:val="center"/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</w:rPr>
        <w:t>Ա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  <w:lang w:val="hy-AM"/>
        </w:rPr>
        <w:t xml:space="preserve">ղյուսակ 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</w:rPr>
        <w:t>3</w:t>
      </w:r>
    </w:p>
    <w:tbl>
      <w:tblPr>
        <w:tblStyle w:val="a8"/>
        <w:tblW w:w="9780" w:type="dxa"/>
        <w:tblInd w:w="108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722"/>
        <w:gridCol w:w="1305"/>
        <w:gridCol w:w="1350"/>
        <w:gridCol w:w="1170"/>
        <w:gridCol w:w="1080"/>
        <w:gridCol w:w="877"/>
        <w:gridCol w:w="1276"/>
      </w:tblGrid>
      <w:tr w:rsidR="009B4F24" w14:paraId="60DCDEC0" w14:textId="77777777" w:rsidTr="00A67BD4"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18B26C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</w:p>
          <w:p w14:paraId="788195B3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Ցուցանիշ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58E446" w14:textId="77777777" w:rsidR="009B4F24" w:rsidRDefault="009B4F24">
            <w:pPr>
              <w:pStyle w:val="a6"/>
              <w:spacing w:line="276" w:lineRule="auto"/>
              <w:ind w:left="0"/>
              <w:jc w:val="both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Հաշվետու ժամանակահատված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3A08CD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</w:rPr>
              <w:t>Ը</w:t>
            </w: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նդամենը</w:t>
            </w:r>
          </w:p>
          <w:p w14:paraId="7470833A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դրամ/աշխ.</w:t>
            </w:r>
          </w:p>
        </w:tc>
        <w:tc>
          <w:tcPr>
            <w:tcW w:w="44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673159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Ոլորտ</w:t>
            </w:r>
          </w:p>
        </w:tc>
      </w:tr>
      <w:tr w:rsidR="009B4F24" w14:paraId="039AAB2F" w14:textId="77777777" w:rsidTr="00A67BD4"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5A472A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668E0CF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0855B22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0623CE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Ն/Դ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988AB9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Հ/Կ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40EC2D6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555473D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Մ/Մ</w:t>
            </w:r>
          </w:p>
        </w:tc>
      </w:tr>
      <w:tr w:rsidR="009B4F24" w14:paraId="59D2787F" w14:textId="77777777" w:rsidTr="00A67BD4"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A5CA24" w14:textId="77777777" w:rsidR="009B4F24" w:rsidRDefault="009B4F24">
            <w:pPr>
              <w:shd w:val="clear" w:color="auto" w:fill="FFFFFF"/>
              <w:tabs>
                <w:tab w:val="left" w:pos="993"/>
              </w:tabs>
              <w:spacing w:after="0"/>
              <w:rPr>
                <w:rFonts w:ascii="GHEA Grapalat" w:hAnsi="GHEA Grapalat"/>
                <w:b/>
                <w:bCs/>
                <w:color w:val="222A35" w:themeColor="text2" w:themeShade="80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lang w:val="hy-AM"/>
              </w:rPr>
              <w:lastRenderedPageBreak/>
              <w:t>Խորհրդատվության, մեթոդական աջակցության և կանխարգելման միջոցների համար հատկացված ֆինանսական միջոցները և մարդկային ռեսուրսները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48BD63" w14:textId="7360F34C" w:rsidR="009B4F24" w:rsidRDefault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9677E6" w14:textId="533E4807" w:rsidR="009B4F24" w:rsidRPr="00847E05" w:rsidRDefault="00A67BD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en-US"/>
              </w:rPr>
            </w:pPr>
            <w:r w:rsidRPr="00A67BD4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454600</w:t>
            </w:r>
            <w:r w:rsidR="00847E05" w:rsidRPr="00A67BD4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/</w:t>
            </w:r>
            <w:r w:rsidR="002E21C0" w:rsidRPr="00A67BD4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51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8292FD" w14:textId="549D8218" w:rsidR="009B4F24" w:rsidRPr="000D75FA" w:rsidRDefault="006A2765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223600/9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4DC4FB" w14:textId="3CFE4ECA" w:rsidR="009B4F24" w:rsidRPr="0067356F" w:rsidRDefault="00796A2F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231000</w:t>
            </w:r>
            <w:r w:rsidR="0067356F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30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ABF8E" w14:textId="2AAF7B19" w:rsidR="009B4F24" w:rsidRPr="004C018B" w:rsidRDefault="004C018B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0/12*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E3737E" w14:textId="29122D40" w:rsidR="009B4F24" w:rsidRPr="004C018B" w:rsidRDefault="004C018B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0/12*</w:t>
            </w:r>
          </w:p>
        </w:tc>
      </w:tr>
      <w:tr w:rsidR="00DA23E1" w14:paraId="43C5697E" w14:textId="77777777" w:rsidTr="00A67BD4"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65842A" w14:textId="77777777" w:rsidR="00DA23E1" w:rsidRDefault="00DA23E1" w:rsidP="00DA23E1">
            <w:pPr>
              <w:spacing w:after="0" w:line="240" w:lineRule="auto"/>
              <w:rPr>
                <w:rFonts w:ascii="GHEA Grapalat" w:hAnsi="GHEA Grapalat"/>
                <w:b/>
                <w:bCs/>
                <w:color w:val="222A35" w:themeColor="text2" w:themeShade="80"/>
                <w:sz w:val="22"/>
                <w:szCs w:val="22"/>
                <w:lang w:val="hy-AM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248CE" w14:textId="237C859D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B9A523" w14:textId="7B1EA967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98000/37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7D1070" w14:textId="6255DEA9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66800/10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09CCB4" w14:textId="134BD82F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0/15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DCADC5" w14:textId="5FB12DEE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31200/10*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36C8E3" w14:textId="2B3BFFC5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31200/10*</w:t>
            </w:r>
          </w:p>
        </w:tc>
      </w:tr>
    </w:tbl>
    <w:p w14:paraId="076CF1BD" w14:textId="77777777" w:rsidR="009B4F24" w:rsidRDefault="009B4F24" w:rsidP="009B4F24">
      <w:pPr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</w:p>
    <w:p w14:paraId="06C47BF8" w14:textId="272361E9" w:rsidR="00DA23E1" w:rsidRPr="00F4760A" w:rsidRDefault="009B4F24" w:rsidP="00F4760A">
      <w:pPr>
        <w:pStyle w:val="a6"/>
        <w:numPr>
          <w:ilvl w:val="1"/>
          <w:numId w:val="3"/>
        </w:numPr>
        <w:shd w:val="clear" w:color="auto" w:fill="FFFFFF"/>
        <w:tabs>
          <w:tab w:val="left" w:pos="993"/>
        </w:tabs>
        <w:spacing w:line="276" w:lineRule="auto"/>
        <w:ind w:left="0" w:firstLine="709"/>
        <w:jc w:val="both"/>
        <w:rPr>
          <w:rFonts w:ascii="GHEA Grapalat" w:hAnsi="GHEA Grapalat"/>
          <w:b/>
          <w:i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>Հայաստանի Հանրապետության կառավարությանը կամ համապատասխան ոլորտների քաղաքականություն մշակող պետական մարմիններին ներկայացված առաջարկների քանակը.</w:t>
      </w:r>
    </w:p>
    <w:p w14:paraId="24E91720" w14:textId="77777777" w:rsidR="00F4760A" w:rsidRDefault="00F4760A" w:rsidP="00F4760A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</w:p>
    <w:p w14:paraId="1F4CDB43" w14:textId="4ACF66C3" w:rsidR="00F4760A" w:rsidRDefault="00F4760A" w:rsidP="00F4760A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671388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2025 թվականին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 w:rsidR="007775D4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ԿՏՄ-ի կողմից 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ներկայացվել է 35 առաջարկություն, որից 6-ը նախադպրոցական, 28-ը հանրակրթության, 1-ը՝</w:t>
      </w:r>
      <w:r w:rsidRPr="00671388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նախնական մասնագիտական և միջին մասնագիտական կրթության ոլորտների</w:t>
      </w:r>
      <w:r w:rsidRPr="0019620E"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  <w:t>վերաբերյալ։</w:t>
      </w:r>
    </w:p>
    <w:p w14:paraId="201FE53A" w14:textId="3AD49017" w:rsidR="009B4F24" w:rsidRDefault="009B4F24" w:rsidP="009B4F24">
      <w:pPr>
        <w:shd w:val="clear" w:color="auto" w:fill="FFFFFF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ru-RU"/>
        </w:rPr>
        <w:t>2024 թվականին ներկայացվել է 54 առաջարկություն. որից 49-ը հանրակրթության, 4-ը՝ նախնական մասնագիտական և միջին մասնագիտական կրթության ոլորտների վերաբերյալ:</w:t>
      </w:r>
    </w:p>
    <w:p w14:paraId="41A3CD75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val="hy-AM"/>
        </w:rPr>
      </w:pPr>
    </w:p>
    <w:p w14:paraId="440DE8AF" w14:textId="77777777" w:rsidR="009B4F24" w:rsidRDefault="009B4F24" w:rsidP="009B4F24">
      <w:pPr>
        <w:pStyle w:val="a6"/>
        <w:numPr>
          <w:ilvl w:val="0"/>
          <w:numId w:val="3"/>
        </w:numPr>
        <w:shd w:val="clear" w:color="auto" w:fill="FFFFFF"/>
        <w:tabs>
          <w:tab w:val="left" w:pos="709"/>
          <w:tab w:val="left" w:pos="851"/>
        </w:tabs>
        <w:ind w:left="0" w:firstLine="567"/>
        <w:rPr>
          <w:rFonts w:ascii="GHEA Grapalat" w:hAnsi="GHEA Grapalat"/>
          <w:b/>
          <w:i/>
          <w:iCs/>
          <w:color w:val="222A35" w:themeColor="text2" w:themeShade="80"/>
          <w:sz w:val="28"/>
          <w:szCs w:val="28"/>
          <w:u w:val="single"/>
          <w:lang w:val="ru-RU"/>
        </w:rPr>
      </w:pPr>
      <w:r>
        <w:rPr>
          <w:rFonts w:ascii="GHEA Grapalat" w:hAnsi="GHEA Grapalat"/>
          <w:b/>
          <w:i/>
          <w:iCs/>
          <w:color w:val="222A35" w:themeColor="text2" w:themeShade="80"/>
          <w:sz w:val="32"/>
          <w:szCs w:val="32"/>
          <w:lang w:val="hy-AM"/>
        </w:rPr>
        <w:t xml:space="preserve"> </w:t>
      </w:r>
      <w:proofErr w:type="spellStart"/>
      <w:r>
        <w:rPr>
          <w:rFonts w:ascii="GHEA Grapalat" w:hAnsi="GHEA Grapalat"/>
          <w:b/>
          <w:i/>
          <w:iCs/>
          <w:color w:val="222A35" w:themeColor="text2" w:themeShade="80"/>
          <w:sz w:val="28"/>
          <w:szCs w:val="28"/>
          <w:u w:val="single"/>
        </w:rPr>
        <w:t>Գործընթացի</w:t>
      </w:r>
      <w:proofErr w:type="spellEnd"/>
      <w:r>
        <w:rPr>
          <w:rFonts w:ascii="GHEA Grapalat" w:hAnsi="GHEA Grapalat"/>
          <w:b/>
          <w:i/>
          <w:iCs/>
          <w:color w:val="222A35" w:themeColor="text2" w:themeShade="80"/>
          <w:sz w:val="28"/>
          <w:szCs w:val="28"/>
          <w:u w:val="single"/>
        </w:rPr>
        <w:t xml:space="preserve"> </w:t>
      </w:r>
      <w:proofErr w:type="spellStart"/>
      <w:r>
        <w:rPr>
          <w:rFonts w:ascii="GHEA Grapalat" w:hAnsi="GHEA Grapalat"/>
          <w:b/>
          <w:i/>
          <w:iCs/>
          <w:color w:val="222A35" w:themeColor="text2" w:themeShade="80"/>
          <w:sz w:val="28"/>
          <w:szCs w:val="28"/>
          <w:u w:val="single"/>
        </w:rPr>
        <w:t>չափորոշիչներ</w:t>
      </w:r>
      <w:proofErr w:type="spellEnd"/>
    </w:p>
    <w:p w14:paraId="64A4509F" w14:textId="77777777" w:rsidR="009B4F24" w:rsidRDefault="009B4F24" w:rsidP="009B4F24">
      <w:pPr>
        <w:pStyle w:val="a6"/>
        <w:shd w:val="clear" w:color="auto" w:fill="FFFFFF"/>
        <w:tabs>
          <w:tab w:val="left" w:pos="709"/>
          <w:tab w:val="left" w:pos="851"/>
        </w:tabs>
        <w:ind w:left="567"/>
        <w:rPr>
          <w:rFonts w:ascii="GHEA Grapalat" w:hAnsi="GHEA Grapalat"/>
          <w:b/>
          <w:color w:val="222A35" w:themeColor="text2" w:themeShade="80"/>
          <w:sz w:val="32"/>
          <w:szCs w:val="32"/>
          <w:u w:val="single"/>
        </w:rPr>
      </w:pPr>
    </w:p>
    <w:p w14:paraId="0EB5D5CE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>Գործընթացի չափորոշիչները վերաբերում են տեսչական մարմնի գործառույթների իրականացման ընթացքին:</w:t>
      </w:r>
    </w:p>
    <w:p w14:paraId="70D804D8" w14:textId="77777777" w:rsidR="009B4F24" w:rsidRDefault="009B4F24" w:rsidP="009B4F24">
      <w:pPr>
        <w:pStyle w:val="a6"/>
        <w:numPr>
          <w:ilvl w:val="1"/>
          <w:numId w:val="3"/>
        </w:numPr>
        <w:shd w:val="clear" w:color="auto" w:fill="FFFFFF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color w:val="000000"/>
          <w:lang w:val="hy-AM"/>
        </w:rPr>
        <w:t xml:space="preserve">Ըստ անհրաժեշտության իրականացված ստուգումների միջին տևողությունը </w:t>
      </w:r>
      <w:r>
        <w:rPr>
          <w:rFonts w:ascii="GHEA Grapalat" w:hAnsi="GHEA Grapalat" w:cs="Sylfaen"/>
          <w:color w:val="000000"/>
          <w:lang w:val="hy-AM"/>
        </w:rPr>
        <w:t>գնահատելու համար վերլուծվել է հաշվետու ժամանակահատվածում տարեկան ծրագրով չնախատեսված</w:t>
      </w:r>
      <w:r>
        <w:rPr>
          <w:rFonts w:ascii="GHEA Grapalat" w:hAnsi="GHEA Grapalat"/>
          <w:color w:val="000000"/>
          <w:lang w:val="hy-AM"/>
        </w:rPr>
        <w:t xml:space="preserve">, սակայն </w:t>
      </w:r>
      <w:r>
        <w:rPr>
          <w:rFonts w:ascii="GHEA Grapalat" w:hAnsi="GHEA Grapalat" w:cs="Sylfaen"/>
          <w:color w:val="000000"/>
          <w:lang w:val="hy-AM"/>
        </w:rPr>
        <w:t xml:space="preserve">տեսչական մարմնի կողմից իրականացված ստուգումների միջին տևողությունը </w:t>
      </w:r>
      <w:r>
        <w:rPr>
          <w:rFonts w:ascii="GHEA Grapalat" w:hAnsi="GHEA Grapalat"/>
          <w:lang w:val="hy-AM"/>
        </w:rPr>
        <w:t>(աղյուսակ 4).</w:t>
      </w:r>
    </w:p>
    <w:p w14:paraId="2A3EB779" w14:textId="77777777" w:rsidR="009B4F24" w:rsidRDefault="009B4F24" w:rsidP="009B4F24">
      <w:pPr>
        <w:shd w:val="clear" w:color="auto" w:fill="FFFFFF"/>
        <w:spacing w:after="0"/>
        <w:ind w:firstLine="567"/>
        <w:jc w:val="center"/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lang w:val="hy-AM"/>
        </w:rPr>
        <w:t xml:space="preserve">                                                                                                                              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</w:rPr>
        <w:t>Ա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  <w:lang w:val="hy-AM"/>
        </w:rPr>
        <w:t xml:space="preserve">ղյուսակ 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</w:rPr>
        <w:t>4</w:t>
      </w:r>
    </w:p>
    <w:tbl>
      <w:tblPr>
        <w:tblStyle w:val="a8"/>
        <w:tblW w:w="9465" w:type="dxa"/>
        <w:tblInd w:w="27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549"/>
        <w:gridCol w:w="2266"/>
        <w:gridCol w:w="1133"/>
        <w:gridCol w:w="993"/>
        <w:gridCol w:w="708"/>
        <w:gridCol w:w="993"/>
        <w:gridCol w:w="823"/>
      </w:tblGrid>
      <w:tr w:rsidR="009B4F24" w14:paraId="50226F33" w14:textId="77777777" w:rsidTr="009B4F24"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11711A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Ցուցանիշ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2CCB9D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Հաշվետու ժամանակահատված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BFF5B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3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9D01E2D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Ոլորտ</w:t>
            </w:r>
          </w:p>
        </w:tc>
      </w:tr>
      <w:tr w:rsidR="009B4F24" w14:paraId="1451190D" w14:textId="77777777" w:rsidTr="009B4F24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10E2F9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0566E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76089FD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9A6217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Ն/Դ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6B1C227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Հ/Կ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723C0B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763EB9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Մ/Մ</w:t>
            </w:r>
          </w:p>
        </w:tc>
      </w:tr>
      <w:tr w:rsidR="009B4F24" w14:paraId="4B59A4F9" w14:textId="77777777" w:rsidTr="00DA23E1"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3AB309" w14:textId="77777777" w:rsidR="009B4F24" w:rsidRDefault="009B4F24">
            <w:pPr>
              <w:pStyle w:val="a6"/>
              <w:spacing w:line="276" w:lineRule="auto"/>
              <w:ind w:left="0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 xml:space="preserve">Ըստ անհրաժեշտության իրականացված </w:t>
            </w: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lastRenderedPageBreak/>
              <w:t xml:space="preserve">ստուգումների միջին տևողությունը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F3134C" w14:textId="6241FCFC" w:rsidR="009B4F24" w:rsidRDefault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lastRenderedPageBreak/>
              <w:t>2025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3818D6" w14:textId="14323866" w:rsidR="009B4F24" w:rsidRPr="0040474A" w:rsidRDefault="006D1C3E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hy-AM"/>
              </w:rPr>
            </w:pPr>
            <w:r w:rsidRPr="00D961D2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1D957F" w14:textId="45484A4C" w:rsidR="009B4F24" w:rsidRPr="006773F5" w:rsidRDefault="006773F5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CFCF51D" w14:textId="1F59FA29" w:rsidR="009B4F24" w:rsidRPr="00EA5184" w:rsidRDefault="00EA518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11,5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43A6B" w14:textId="7CB3ABDC" w:rsidR="009B4F24" w:rsidRPr="003C323F" w:rsidRDefault="00D0070D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51EF63" w14:textId="13D51C26" w:rsidR="009B4F24" w:rsidRPr="00D0070D" w:rsidRDefault="00D0070D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</w:t>
            </w:r>
          </w:p>
        </w:tc>
      </w:tr>
      <w:tr w:rsidR="00DA23E1" w14:paraId="248363EF" w14:textId="77777777" w:rsidTr="00DA23E1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91AAF9C" w14:textId="77777777" w:rsidR="00DA23E1" w:rsidRDefault="00DA23E1" w:rsidP="00DA23E1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CFD4A2" w14:textId="1DD40627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31CFFFB" w14:textId="69FCC448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1,25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94EB59" w14:textId="2102EE40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155A6D" w14:textId="087ADCE7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3ACEB1" w14:textId="6C79409D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F185BB7" w14:textId="02B0B7CE" w:rsidR="00DA23E1" w:rsidRDefault="00DA23E1" w:rsidP="00DA23E1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</w:rPr>
              <w:t>0</w:t>
            </w:r>
          </w:p>
        </w:tc>
      </w:tr>
    </w:tbl>
    <w:p w14:paraId="5F9D833E" w14:textId="77777777" w:rsidR="009B4F24" w:rsidRDefault="009B4F24" w:rsidP="009B4F24">
      <w:pPr>
        <w:shd w:val="clear" w:color="auto" w:fill="FFFFFF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8C0BCF0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2) Բարձր ռիսկային տնտեսավարող սուբյեկտներում և ստուգման օբյեկտներում ստուգումների քանակը` ստուգումների ընդհանուր քանակի համեմատությամբ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չափորոշչի գնահատման համար վերլուծվել է բարձր ռիսկային տնտեսավարող սուբյեկտներում հաշվետու ժամանակահատվածում կատարված ստուգումների քանակի և տեսչական մարմնի ստուգումների տարեկան ծրագրում նույն ժամանակահատվածում ընդգրկված և իրականացված ստուգումների քանակի հարաբերությունը (աղյուսակ 5).</w:t>
      </w:r>
    </w:p>
    <w:p w14:paraId="551D0DBD" w14:textId="77777777" w:rsidR="009B4F24" w:rsidRDefault="009B4F24" w:rsidP="009B4F24">
      <w:pPr>
        <w:shd w:val="clear" w:color="auto" w:fill="FFFFFF"/>
        <w:spacing w:after="0"/>
        <w:ind w:firstLine="567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56A50199" w14:textId="77777777" w:rsidR="009B4F24" w:rsidRDefault="009B4F24" w:rsidP="009B4F24">
      <w:pPr>
        <w:shd w:val="clear" w:color="auto" w:fill="FFFFFF"/>
        <w:spacing w:after="0"/>
        <w:ind w:firstLine="567"/>
        <w:jc w:val="center"/>
        <w:rPr>
          <w:rFonts w:ascii="GHEA Grapalat" w:hAnsi="GHEA Grapalat"/>
          <w:b/>
          <w:bCs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</w:rPr>
        <w:t>Ա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  <w:lang w:val="hy-AM"/>
        </w:rPr>
        <w:t xml:space="preserve">ղյուսակ 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</w:rPr>
        <w:t>5</w:t>
      </w:r>
    </w:p>
    <w:tbl>
      <w:tblPr>
        <w:tblStyle w:val="a8"/>
        <w:tblW w:w="9465" w:type="dxa"/>
        <w:tblInd w:w="27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15"/>
        <w:gridCol w:w="2266"/>
        <w:gridCol w:w="851"/>
        <w:gridCol w:w="709"/>
        <w:gridCol w:w="850"/>
        <w:gridCol w:w="851"/>
        <w:gridCol w:w="823"/>
      </w:tblGrid>
      <w:tr w:rsidR="009B4F24" w14:paraId="375A6E6C" w14:textId="77777777" w:rsidTr="009B4F24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33B20AD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Ցուցանիշ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615B5F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Հաշվետու ժամանակահատված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7FB3323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ԿՏՄ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E5A792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Ոլորտ</w:t>
            </w:r>
          </w:p>
        </w:tc>
      </w:tr>
      <w:tr w:rsidR="009B4F24" w14:paraId="077203E2" w14:textId="77777777" w:rsidTr="009B4F24"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34AEBAB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C3FCF13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6F7B81D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85EEA74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Ն/Դ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554DA4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Հ/Կ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905CD4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45F919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Մ/Մ</w:t>
            </w:r>
          </w:p>
        </w:tc>
      </w:tr>
      <w:tr w:rsidR="009B4F24" w14:paraId="02F0687B" w14:textId="77777777" w:rsidTr="00BE2AAD">
        <w:trPr>
          <w:trHeight w:val="562"/>
        </w:trPr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0BB9BD" w14:textId="77777777" w:rsidR="009B4F24" w:rsidRDefault="009B4F24">
            <w:pPr>
              <w:pStyle w:val="a6"/>
              <w:spacing w:line="276" w:lineRule="auto"/>
              <w:ind w:left="0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 xml:space="preserve">Բարձր ռիսկային տնտեսավարող սուբյեկտներում և ստուգման օբյեկտներում ստուգումների քանակը` ստուգումների ընդհանուր քանակի համեմատությամբ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E149D3" w14:textId="21E7500C" w:rsidR="009B4F24" w:rsidRPr="00BE2AAD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</w:t>
            </w:r>
            <w:r w:rsidR="00BE2AAD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D9E609" w14:textId="43DC44D0" w:rsidR="009B4F24" w:rsidRDefault="005720F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hy-AM"/>
              </w:rPr>
            </w:pPr>
            <w:r w:rsidRPr="00C72589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3,3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AE4EC" w14:textId="6587A81E" w:rsidR="009B4F24" w:rsidRPr="00F32169" w:rsidRDefault="00F32169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0D2308" w14:textId="1E969FE7" w:rsidR="009B4F24" w:rsidRDefault="00E709D9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058F98" w14:textId="61275052" w:rsidR="009B4F24" w:rsidRDefault="0033753C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62A213" w14:textId="10C3C3B6" w:rsidR="009B4F24" w:rsidRDefault="002250B9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5,9</w:t>
            </w:r>
          </w:p>
        </w:tc>
      </w:tr>
      <w:tr w:rsidR="00BE2AAD" w14:paraId="7B0E9C9E" w14:textId="77777777" w:rsidTr="00BE2AAD">
        <w:trPr>
          <w:trHeight w:val="1216"/>
        </w:trPr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E4E54A" w14:textId="77777777" w:rsidR="00BE2AAD" w:rsidRDefault="00BE2AAD" w:rsidP="00BE2AAD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3D20F9" w14:textId="4F41FEA0" w:rsidR="00BE2AAD" w:rsidRPr="00BE2AAD" w:rsidRDefault="00BE2AAD" w:rsidP="00BE2AAD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26E02C" w14:textId="2138EA3B" w:rsidR="00BE2AAD" w:rsidRDefault="00BE2AAD" w:rsidP="00BE2AAD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3,85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172F199" w14:textId="1F7E9574" w:rsidR="00BE2AAD" w:rsidRDefault="00BE2AAD" w:rsidP="00BE2AAD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1,75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AB2692" w14:textId="56384992" w:rsidR="00BE2AAD" w:rsidRDefault="00BE2AAD" w:rsidP="00BE2AAD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3,38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DF3540E" w14:textId="486B5C5A" w:rsidR="00BE2AAD" w:rsidRDefault="00BE2AAD" w:rsidP="00BE2AAD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AEC6C97" w14:textId="59C2BB44" w:rsidR="00BE2AAD" w:rsidRDefault="00BE2AAD" w:rsidP="00BE2AAD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0,95</w:t>
            </w:r>
          </w:p>
        </w:tc>
      </w:tr>
    </w:tbl>
    <w:p w14:paraId="7A9B4957" w14:textId="77777777" w:rsidR="009B4F24" w:rsidRDefault="009B4F24" w:rsidP="009B4F24">
      <w:pPr>
        <w:shd w:val="clear" w:color="auto" w:fill="FFFFFF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325976D5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3) Ստուգումների տարեկան ծրագրում ընդգրկված ստուգումների միջին տևողությունը </w:t>
      </w:r>
      <w:r>
        <w:rPr>
          <w:rFonts w:ascii="GHEA Grapalat" w:hAnsi="GHEA Grapalat"/>
          <w:color w:val="000000"/>
          <w:sz w:val="24"/>
          <w:szCs w:val="24"/>
          <w:lang w:val="hy-AM"/>
        </w:rPr>
        <w:t>հաշվարկվել է ստուգումների տարեկան ծրագրով նախատեսված ստուգումների ընդհանուր տևողության և դրանց քանակի հարաբերությամբ (աղյուսակ 6).</w:t>
      </w:r>
    </w:p>
    <w:p w14:paraId="2D309655" w14:textId="77777777" w:rsidR="009B4F24" w:rsidRDefault="009B4F24" w:rsidP="009B4F24">
      <w:pPr>
        <w:shd w:val="clear" w:color="auto" w:fill="FFFFFF"/>
        <w:spacing w:after="0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C040343" w14:textId="77777777" w:rsidR="009B4F24" w:rsidRDefault="009B4F24" w:rsidP="009B4F24">
      <w:pPr>
        <w:shd w:val="clear" w:color="auto" w:fill="FFFFFF"/>
        <w:spacing w:after="0"/>
        <w:ind w:firstLine="567"/>
        <w:jc w:val="right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00FDE6A7" w14:textId="77777777" w:rsidR="009B4F24" w:rsidRDefault="009B4F24" w:rsidP="009B4F24">
      <w:pPr>
        <w:shd w:val="clear" w:color="auto" w:fill="FFFFFF"/>
        <w:spacing w:after="0"/>
        <w:ind w:firstLine="567"/>
        <w:jc w:val="center"/>
        <w:rPr>
          <w:rFonts w:ascii="GHEA Grapalat" w:hAnsi="GHEA Grapalat"/>
          <w:b/>
          <w:bCs/>
          <w:sz w:val="20"/>
          <w:szCs w:val="20"/>
          <w:u w:val="single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                                                                                                                          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</w:rPr>
        <w:t>Ա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  <w:lang w:val="hy-AM"/>
        </w:rPr>
        <w:t xml:space="preserve">ղյուսակ 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</w:rPr>
        <w:t>6</w:t>
      </w:r>
    </w:p>
    <w:tbl>
      <w:tblPr>
        <w:tblStyle w:val="a8"/>
        <w:tblW w:w="9465" w:type="dxa"/>
        <w:tblInd w:w="279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115"/>
        <w:gridCol w:w="2266"/>
        <w:gridCol w:w="851"/>
        <w:gridCol w:w="850"/>
        <w:gridCol w:w="709"/>
        <w:gridCol w:w="851"/>
        <w:gridCol w:w="823"/>
      </w:tblGrid>
      <w:tr w:rsidR="009B4F24" w14:paraId="55FAB882" w14:textId="77777777" w:rsidTr="009B4F24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8648D2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Ցուցանիշ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A463F3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Հաշվետու ժամանակահատված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9B4771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Միջին</w:t>
            </w:r>
          </w:p>
        </w:tc>
        <w:tc>
          <w:tcPr>
            <w:tcW w:w="32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6109A42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Ոլորտ</w:t>
            </w:r>
          </w:p>
        </w:tc>
      </w:tr>
      <w:tr w:rsidR="009B4F24" w14:paraId="7DCFAF48" w14:textId="77777777" w:rsidTr="009B4F24"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E852799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4CE04A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454A35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A3C8622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Ն/Դ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F286A3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Հ/Կ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9241592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5C73B5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Մ/Մ</w:t>
            </w:r>
          </w:p>
        </w:tc>
      </w:tr>
      <w:tr w:rsidR="009B4F24" w14:paraId="25DF42F8" w14:textId="77777777" w:rsidTr="00F45CDE">
        <w:tc>
          <w:tcPr>
            <w:tcW w:w="3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8456C4" w14:textId="77777777" w:rsidR="009B4F24" w:rsidRDefault="009B4F24">
            <w:pPr>
              <w:pStyle w:val="a6"/>
              <w:spacing w:line="276" w:lineRule="auto"/>
              <w:ind w:left="0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 xml:space="preserve">Ստուգումների տարեկան ծրագրում ընդգրկված ստուգումների միջին տևողությունը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016F8D" w14:textId="7DB12B2F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</w:t>
            </w:r>
            <w:r w:rsidR="00EB2ABA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213F99" w14:textId="5392CE62" w:rsidR="009B4F24" w:rsidRDefault="00002DF9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hy-AM"/>
              </w:rPr>
            </w:pPr>
            <w:r w:rsidRPr="00002DF9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4,1</w:t>
            </w:r>
            <w:r w:rsidR="00EE2355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 xml:space="preserve"> օր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91C671" w14:textId="76CD6983" w:rsidR="009B4F24" w:rsidRDefault="00EE2355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76D29E" w14:textId="3BFF7F3E" w:rsidR="009B4F24" w:rsidRDefault="008D3757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7AAAB9" w14:textId="1A9BAFEE" w:rsidR="009B4F24" w:rsidRDefault="008D3757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5,4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F4654E" w14:textId="403F6D94" w:rsidR="009B4F24" w:rsidRDefault="00D6347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5,75</w:t>
            </w:r>
          </w:p>
        </w:tc>
      </w:tr>
      <w:tr w:rsidR="00F45CDE" w14:paraId="4712FCB6" w14:textId="77777777" w:rsidTr="009B4F24">
        <w:tc>
          <w:tcPr>
            <w:tcW w:w="3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118F193" w14:textId="77777777" w:rsidR="00F45CDE" w:rsidRDefault="00F45CDE" w:rsidP="00F45CDE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F840D6" w14:textId="2E39546B" w:rsidR="00F45CDE" w:rsidRDefault="00F45CDE" w:rsidP="00F45CDE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2DC2092" w14:textId="27F4F185" w:rsidR="00F45CDE" w:rsidRDefault="00F45CDE" w:rsidP="00F45CDE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4,04 օր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1DA4350" w14:textId="5714FAC6" w:rsidR="00F45CDE" w:rsidRDefault="00F45CDE" w:rsidP="00F45CDE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3,75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D553415" w14:textId="2B08F661" w:rsidR="00F45CDE" w:rsidRDefault="00F45CDE" w:rsidP="00F45CDE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3,94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8BBEDE1" w14:textId="730ED3F5" w:rsidR="00F45CDE" w:rsidRDefault="00F45CDE" w:rsidP="00F45CDE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2,5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CA1D270" w14:textId="10408575" w:rsidR="00F45CDE" w:rsidRDefault="00F45CDE" w:rsidP="00F45CDE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4,8</w:t>
            </w:r>
          </w:p>
        </w:tc>
      </w:tr>
    </w:tbl>
    <w:p w14:paraId="3E75ACC8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6039EA57" w14:textId="15C4040F" w:rsidR="00062752" w:rsidRDefault="009B4F24" w:rsidP="00C97DDC">
      <w:pPr>
        <w:shd w:val="clear" w:color="auto" w:fill="FFFFFF"/>
        <w:spacing w:after="0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4) Ըստ անհրաժեշտության իրականացված ստուգումների ընդհանուր քանակի (որոնց շնորհիվ կանխվել է հանրությանը, պետությանը սպառնացող 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>էական վնաս կամ ռիսկ) հարաբերակցությունը ըստ անհրաժեշտության իրականացված ստուգումների ընդհանուր քանակին</w:t>
      </w:r>
      <w:r>
        <w:rPr>
          <w:rStyle w:val="a7"/>
          <w:rFonts w:ascii="GHEA Grapalat" w:hAnsi="GHEA Grapalat"/>
          <w:b/>
          <w:color w:val="000000"/>
          <w:sz w:val="24"/>
          <w:szCs w:val="24"/>
          <w:lang w:val="hy-AM"/>
        </w:rPr>
        <w:footnoteReference w:id="1"/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528A97DC" w14:textId="77777777" w:rsidR="00C97DDC" w:rsidRDefault="00C97DDC" w:rsidP="00C97DDC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2025 թվականի 4-րդ եռամսյակում տեսչական մարմնի կողմից ըստ անհրաժեշտության իրականացված ստուգումների ընդհանուր քանակի (որոնց շնորհիվ կանխվել է հանրությանը, շրջակա միջավայրին, ֆիզիկական կամ իրավաբանական անձանց գույքային շահերին, պետությանը սպառնացող էական վնաս կամ ռիսկ) հարաբերակցությունը ըստ անհրաժեշտության իրականացրած ստուգումների ընդհանուր քանակին՝ կազմում է 1/7։</w:t>
      </w:r>
    </w:p>
    <w:p w14:paraId="29F0A3D9" w14:textId="08A6818E" w:rsidR="00C97DDC" w:rsidRDefault="00C97DDC" w:rsidP="00C97DDC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  <w:r w:rsidRPr="00A72F1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2024 թվականի</w:t>
      </w:r>
      <w:r w:rsidR="00702D0F" w:rsidRPr="00A72F1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>ն</w:t>
      </w:r>
      <w:r w:rsidRPr="00A72F14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t xml:space="preserve"> նշված հարաբերակցությունը կազմել է 0։</w:t>
      </w:r>
    </w:p>
    <w:p w14:paraId="6967842F" w14:textId="77777777" w:rsidR="00A72F14" w:rsidRPr="00A72F14" w:rsidRDefault="00A72F14" w:rsidP="00C97DDC">
      <w:pPr>
        <w:shd w:val="clear" w:color="auto" w:fill="FFFFFF"/>
        <w:spacing w:after="0"/>
        <w:ind w:firstLine="567"/>
        <w:jc w:val="both"/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</w:pPr>
    </w:p>
    <w:p w14:paraId="5807719D" w14:textId="77777777" w:rsidR="009B4F24" w:rsidRDefault="009B4F24" w:rsidP="009B4F24">
      <w:pPr>
        <w:shd w:val="clear" w:color="auto" w:fill="FFFFFF"/>
        <w:tabs>
          <w:tab w:val="left" w:pos="1134"/>
        </w:tabs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5) Ստուգման ենթարկված օբյեկտների բավարարվածության աստիճանը տեսչական մարմնի աշխատանքների անաչառությունից, ընթացակարգերի թափանցիկությունից, տեղեկատվության որակից և տեսչական մարմնի ծառայողների արհեստավարժությունից.</w:t>
      </w:r>
    </w:p>
    <w:p w14:paraId="309E85C7" w14:textId="393C0E6B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Չափորոշչի գնահատումը կատարվել է</w:t>
      </w:r>
      <w:r w:rsidR="00435E41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հիմք ընդունելով չափորոշչում նշված հարցերի վերաբերյալ ստացված դիմում-բողոքները։</w:t>
      </w:r>
    </w:p>
    <w:p w14:paraId="7134C7A7" w14:textId="77FCA0C9" w:rsidR="000666F8" w:rsidRPr="001B5EF6" w:rsidRDefault="000666F8" w:rsidP="000666F8">
      <w:pPr>
        <w:shd w:val="clear" w:color="auto" w:fill="FFFFFF"/>
        <w:spacing w:after="0"/>
        <w:ind w:firstLine="567"/>
        <w:jc w:val="both"/>
        <w:rPr>
          <w:rFonts w:ascii="GHEA Grapalat" w:hAnsi="GHEA Grapalat"/>
          <w:lang w:val="hy-AM"/>
        </w:rPr>
      </w:pPr>
      <w:r w:rsidRPr="00600DE0">
        <w:rPr>
          <w:rFonts w:ascii="GHEA Grapalat" w:hAnsi="GHEA Grapalat"/>
          <w:sz w:val="24"/>
          <w:szCs w:val="24"/>
          <w:lang w:val="hy-AM"/>
        </w:rPr>
        <w:t>202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600DE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թվականի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 </w:t>
      </w:r>
      <w:r w:rsidRPr="00600DE0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նշված հարցերի վերաբերյալ տեսչական մարմնի դեմ </w:t>
      </w:r>
      <w:r w:rsidRPr="001B5EF6">
        <w:rPr>
          <w:rFonts w:ascii="GHEA Grapalat" w:eastAsia="Times New Roman" w:hAnsi="GHEA Grapalat"/>
          <w:sz w:val="24"/>
          <w:szCs w:val="24"/>
          <w:lang w:val="hy-AM" w:eastAsia="ru-RU"/>
        </w:rPr>
        <w:t>բերվել 1 բողոք: Բողոքը վերաբերել է ստուգման ընթացակարգի չպահպանմանը՝ մասնավորապես «առանց ծանուցման վերահսկողական գործընթաց իրականացնելուն»։ Բողոքարկող կողմին պատասխանվել է, որ ըստ հրամանի, ստուգման գործընթաց չի նախատեսված, և այդ իսկ պատճառով տնտեսավարող ս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>ու</w:t>
      </w:r>
      <w:r w:rsidRPr="001B5EF6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բյեկտը չի ծանուցվել։ </w:t>
      </w:r>
    </w:p>
    <w:p w14:paraId="4C7EF2CB" w14:textId="1BDC7CA8" w:rsidR="009B4F24" w:rsidRDefault="009B4F24" w:rsidP="009B4F24">
      <w:pPr>
        <w:pStyle w:val="a6"/>
        <w:spacing w:after="200" w:line="276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2024 թվականին ստուգման ենթարկված օբյեկտներից բողոք չի ստացվել, </w:t>
      </w:r>
    </w:p>
    <w:p w14:paraId="3D3524DF" w14:textId="77777777" w:rsidR="009B4F24" w:rsidRDefault="009B4F24" w:rsidP="009B4F24">
      <w:pPr>
        <w:pStyle w:val="a6"/>
        <w:spacing w:after="200" w:line="276" w:lineRule="auto"/>
        <w:ind w:left="0" w:firstLine="567"/>
        <w:jc w:val="both"/>
        <w:rPr>
          <w:rFonts w:ascii="GHEA Grapalat" w:hAnsi="GHEA Grapalat"/>
          <w:lang w:val="hy-AM"/>
        </w:rPr>
      </w:pPr>
    </w:p>
    <w:p w14:paraId="3AD451A9" w14:textId="77777777" w:rsidR="009B4F24" w:rsidRDefault="009B4F24" w:rsidP="009B4F24">
      <w:pPr>
        <w:pStyle w:val="a6"/>
        <w:numPr>
          <w:ilvl w:val="0"/>
          <w:numId w:val="3"/>
        </w:numPr>
        <w:tabs>
          <w:tab w:val="left" w:pos="1134"/>
        </w:tabs>
        <w:spacing w:before="240" w:line="360" w:lineRule="auto"/>
        <w:ind w:left="0" w:firstLine="709"/>
        <w:jc w:val="both"/>
        <w:rPr>
          <w:rFonts w:ascii="GHEA Grapalat" w:hAnsi="GHEA Grapalat"/>
          <w:b/>
          <w:i/>
          <w:iCs/>
          <w:color w:val="222A35" w:themeColor="text2" w:themeShade="80"/>
          <w:sz w:val="28"/>
          <w:szCs w:val="28"/>
          <w:u w:val="single"/>
          <w:lang w:val="hy-AM"/>
        </w:rPr>
      </w:pPr>
      <w:r>
        <w:rPr>
          <w:rFonts w:ascii="GHEA Grapalat" w:hAnsi="GHEA Grapalat"/>
          <w:b/>
          <w:i/>
          <w:iCs/>
          <w:color w:val="222A35" w:themeColor="text2" w:themeShade="80"/>
          <w:sz w:val="28"/>
          <w:szCs w:val="28"/>
          <w:u w:val="single"/>
          <w:lang w:val="hy-AM"/>
        </w:rPr>
        <w:t>Արդյունքի չափորոշիչներ</w:t>
      </w:r>
    </w:p>
    <w:p w14:paraId="7E4D8147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Արդյունքի չափորոշիչները վերաբերում են տեսչական մարմնի կոնկրետ լիազորության իրականացման անմիջական արդյունքին:</w:t>
      </w:r>
    </w:p>
    <w:p w14:paraId="7E658C88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1) Ստուգումների տարեկան ծրագրում ընդգրկված և ըստ անհրաժեշտության իրականացված ստուգումների քանակական հարաբերությունը </w:t>
      </w:r>
      <w:r>
        <w:rPr>
          <w:rFonts w:ascii="GHEA Grapalat" w:hAnsi="GHEA Grapalat"/>
          <w:sz w:val="24"/>
          <w:szCs w:val="24"/>
          <w:lang w:val="hy-AM"/>
        </w:rPr>
        <w:t>(աղյուսակ 7).</w:t>
      </w:r>
    </w:p>
    <w:p w14:paraId="18CD3478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1362AB33" w14:textId="77777777" w:rsidR="009B4F24" w:rsidRPr="00917599" w:rsidRDefault="009B4F24" w:rsidP="009B4F24">
      <w:pPr>
        <w:shd w:val="clear" w:color="auto" w:fill="FFFFFF"/>
        <w:spacing w:after="0"/>
        <w:ind w:firstLine="567"/>
        <w:jc w:val="center"/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 xml:space="preserve">                                                                                                                           </w:t>
      </w:r>
      <w:r w:rsidRPr="00917599">
        <w:rPr>
          <w:rFonts w:ascii="GHEA Grapalat" w:hAnsi="GHEA Grapalat"/>
          <w:b/>
          <w:bCs/>
          <w:color w:val="222A35" w:themeColor="text2" w:themeShade="80"/>
          <w:sz w:val="20"/>
          <w:szCs w:val="20"/>
          <w:u w:val="single"/>
          <w:lang w:val="hy-AM"/>
        </w:rPr>
        <w:t>Աղյուսակ 7</w:t>
      </w:r>
    </w:p>
    <w:tbl>
      <w:tblPr>
        <w:tblStyle w:val="a8"/>
        <w:tblW w:w="9750" w:type="dxa"/>
        <w:tblInd w:w="-5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399"/>
        <w:gridCol w:w="1676"/>
        <w:gridCol w:w="992"/>
        <w:gridCol w:w="992"/>
        <w:gridCol w:w="875"/>
        <w:gridCol w:w="993"/>
        <w:gridCol w:w="823"/>
      </w:tblGrid>
      <w:tr w:rsidR="009B4F24" w14:paraId="4C7B7C9E" w14:textId="77777777" w:rsidTr="009B4F24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B4E8191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Ցուցանիշ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DCD80CD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Հաշվետու ժամանակահատված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D30C3D" w14:textId="4E5F7A11" w:rsidR="009B4F24" w:rsidRDefault="00683DCF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ԿՏՄ</w:t>
            </w:r>
          </w:p>
        </w:tc>
        <w:tc>
          <w:tcPr>
            <w:tcW w:w="3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E898337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Ոլորտ</w:t>
            </w:r>
          </w:p>
        </w:tc>
      </w:tr>
      <w:tr w:rsidR="009B4F24" w14:paraId="553579F3" w14:textId="77777777" w:rsidTr="009B4F24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68969C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66B704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287CDD9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EF0DCEA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Ն/Դ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957EA1B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Հ/Կ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BCD345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Ն/Մ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01C027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Մ/Մ</w:t>
            </w:r>
          </w:p>
        </w:tc>
      </w:tr>
      <w:tr w:rsidR="009B4F24" w14:paraId="2B5E3B63" w14:textId="77777777" w:rsidTr="005B5892"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F943AB0" w14:textId="77777777" w:rsidR="009B4F24" w:rsidRDefault="009B4F24">
            <w:pPr>
              <w:pStyle w:val="a6"/>
              <w:spacing w:line="276" w:lineRule="auto"/>
              <w:ind w:left="0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 xml:space="preserve">Ստուգումների տարեկան ծրագրում ընդգրկված և ըստ անհրաժեշտության իրականացված ստուգումների քանակական հարաբերությունը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49C62DA" w14:textId="3C546B5F" w:rsidR="009B4F24" w:rsidRDefault="005B589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B13D63" w14:textId="32A57B25" w:rsidR="009B4F24" w:rsidRDefault="005B589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hy-AM"/>
              </w:rPr>
            </w:pPr>
            <w:r w:rsidRPr="00142407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10/</w:t>
            </w:r>
            <w:r w:rsidR="00142407" w:rsidRPr="00142407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8CF6B3" w14:textId="37EA95B6" w:rsidR="009B4F24" w:rsidRDefault="000C701F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0/17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EBE6FE" w14:textId="5ABEEAA2" w:rsidR="009B4F24" w:rsidRDefault="003D6863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8</w:t>
            </w:r>
            <w:r w:rsidR="00EA6687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/</w:t>
            </w:r>
            <w:r w:rsidR="00590820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</w:t>
            </w:r>
            <w:r w:rsidR="00EA6687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3096887" w14:textId="0D1CD810" w:rsidR="009B4F24" w:rsidRDefault="00EA6687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0/</w:t>
            </w:r>
            <w:r w:rsidR="00701A69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4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FBDD1A" w14:textId="21EFBB49" w:rsidR="009B4F24" w:rsidRDefault="003812CF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2/11</w:t>
            </w:r>
          </w:p>
        </w:tc>
      </w:tr>
      <w:tr w:rsidR="005B5892" w14:paraId="76187173" w14:textId="77777777" w:rsidTr="00DF6D2D">
        <w:tc>
          <w:tcPr>
            <w:tcW w:w="3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9191211" w14:textId="77777777" w:rsidR="005B5892" w:rsidRDefault="005B5892" w:rsidP="005B5892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D6EC7F" w14:textId="37D3FD67" w:rsidR="005B5892" w:rsidRDefault="005B5892" w:rsidP="005B589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741CB5" w14:textId="77777777" w:rsidR="005B5892" w:rsidRDefault="005B5892" w:rsidP="005B589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1/133</w:t>
            </w:r>
          </w:p>
          <w:p w14:paraId="1D3B8135" w14:textId="1F7A16F6" w:rsidR="005B5892" w:rsidRDefault="005B5892" w:rsidP="005B589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highlight w:val="yellow"/>
                <w:lang w:val="hy-AM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D88328" w14:textId="3326BF58" w:rsidR="005B5892" w:rsidRDefault="005B5892" w:rsidP="005B589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0/6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0875F3E" w14:textId="77777777" w:rsidR="005B5892" w:rsidRDefault="005B5892" w:rsidP="005B589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1/112</w:t>
            </w:r>
          </w:p>
          <w:p w14:paraId="232C5226" w14:textId="29CF9D02" w:rsidR="005B5892" w:rsidRDefault="005B5892" w:rsidP="005B589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58539E" w14:textId="6D25F043" w:rsidR="005B5892" w:rsidRDefault="005B5892" w:rsidP="005B589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0/2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8CD01B" w14:textId="637F3ED0" w:rsidR="005B5892" w:rsidRDefault="005B5892" w:rsidP="005B589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0/13</w:t>
            </w:r>
          </w:p>
        </w:tc>
      </w:tr>
    </w:tbl>
    <w:p w14:paraId="4ADD5FD8" w14:textId="77777777" w:rsidR="009B4F24" w:rsidRDefault="009B4F24" w:rsidP="009B4F24">
      <w:pPr>
        <w:shd w:val="clear" w:color="auto" w:fill="FFFFFF"/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GoBack"/>
      <w:bookmarkEnd w:id="0"/>
    </w:p>
    <w:p w14:paraId="29B2C174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49B44CC4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>2) Տեսչական մարմնի վերահսկման երեքից հինգ բարձր ռիսկային բնագավառներում իրավիճակի փոփոխությունը (</w:t>
      </w:r>
      <w:r>
        <w:rPr>
          <w:rFonts w:ascii="GHEA Grapalat" w:hAnsi="GHEA Grapalat"/>
          <w:bCs/>
          <w:sz w:val="24"/>
          <w:szCs w:val="24"/>
          <w:lang w:val="hy-AM"/>
        </w:rPr>
        <w:t>աղյուսակ 8</w:t>
      </w:r>
      <w:r>
        <w:rPr>
          <w:rFonts w:ascii="GHEA Grapalat" w:hAnsi="GHEA Grapalat"/>
          <w:b/>
          <w:sz w:val="24"/>
          <w:szCs w:val="24"/>
          <w:lang w:val="hy-AM"/>
        </w:rPr>
        <w:t>).</w:t>
      </w:r>
    </w:p>
    <w:p w14:paraId="24F1DBF0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D8F4CC4" w14:textId="77777777" w:rsidR="009B4F24" w:rsidRDefault="009B4F24" w:rsidP="009B4F24">
      <w:pPr>
        <w:shd w:val="clear" w:color="auto" w:fill="FFFFFF"/>
        <w:spacing w:after="0"/>
        <w:ind w:firstLine="567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  <w:r>
        <w:rPr>
          <w:rFonts w:ascii="GHEA Grapalat" w:hAnsi="GHEA Grapalat"/>
          <w:b/>
          <w:sz w:val="20"/>
          <w:szCs w:val="20"/>
          <w:u w:val="single"/>
          <w:lang w:val="hy-AM"/>
        </w:rPr>
        <w:t>Աղյուսակ 8</w:t>
      </w:r>
    </w:p>
    <w:p w14:paraId="2D80FF74" w14:textId="77777777" w:rsidR="009B4F24" w:rsidRDefault="009B4F24" w:rsidP="009B4F24">
      <w:pPr>
        <w:shd w:val="clear" w:color="auto" w:fill="FFFFFF"/>
        <w:spacing w:after="0"/>
        <w:ind w:firstLine="567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21"/>
        <w:gridCol w:w="851"/>
        <w:gridCol w:w="1560"/>
        <w:gridCol w:w="1419"/>
        <w:gridCol w:w="1418"/>
        <w:gridCol w:w="1844"/>
        <w:gridCol w:w="1419"/>
        <w:gridCol w:w="1418"/>
      </w:tblGrid>
      <w:tr w:rsidR="00DA23E1" w14:paraId="6191618C" w14:textId="77777777" w:rsidTr="004557E1">
        <w:trPr>
          <w:trHeight w:val="377"/>
        </w:trPr>
        <w:tc>
          <w:tcPr>
            <w:tcW w:w="12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64F0A4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bookmarkStart w:id="1" w:name="_Hlk219707975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Ոլորտներ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A706E5D" w14:textId="77777777" w:rsidR="00DA23E1" w:rsidRPr="00027D52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4</w:t>
            </w:r>
          </w:p>
        </w:tc>
        <w:tc>
          <w:tcPr>
            <w:tcW w:w="46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646B4C3" w14:textId="77777777" w:rsidR="00DA23E1" w:rsidRPr="00027D52" w:rsidRDefault="00DA23E1" w:rsidP="004557E1">
            <w:pPr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2025</w:t>
            </w:r>
          </w:p>
        </w:tc>
      </w:tr>
      <w:tr w:rsidR="00DA23E1" w14:paraId="04D214DF" w14:textId="77777777" w:rsidTr="004557E1">
        <w:trPr>
          <w:trHeight w:val="958"/>
        </w:trPr>
        <w:tc>
          <w:tcPr>
            <w:tcW w:w="12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58275B" w14:textId="77777777" w:rsidR="00DA23E1" w:rsidRDefault="00DA23E1" w:rsidP="004557E1">
            <w:pPr>
              <w:spacing w:after="0" w:line="240" w:lineRule="auto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bookmarkStart w:id="2" w:name="_Hlk21970799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EA8C53" w14:textId="77777777" w:rsidR="00DA23E1" w:rsidRDefault="00DA23E1" w:rsidP="004557E1">
            <w:pPr>
              <w:spacing w:after="0"/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Բարձր ռիսկային տնտեսավարող սուբյեկտներում ստուգումների թիվը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A1623D2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ru-RU" w:eastAsia="ru-RU"/>
              </w:rPr>
              <w:t>Հայտն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hy-AM" w:eastAsia="ru-RU"/>
              </w:rPr>
              <w:t>ա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ru-RU" w:eastAsia="ru-RU"/>
              </w:rPr>
              <w:t>բերված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ru-RU" w:eastAsia="ru-RU"/>
              </w:rPr>
              <w:t>խախտումներ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hy-AM" w:eastAsia="ru-RU"/>
              </w:rPr>
              <w:t xml:space="preserve"> կշիռների հանրագումարը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68F6B1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hy-AM" w:eastAsia="ru-RU"/>
              </w:rPr>
              <w:t>Հայտնաբերված խախտումների միջինացված ցուցանիշները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BCCE87A" w14:textId="77777777" w:rsidR="00DA23E1" w:rsidRDefault="00DA23E1" w:rsidP="004557E1">
            <w:pPr>
              <w:spacing w:after="0"/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Բարձր ռիսկային տնտեսավարող սուբյեկտներում ստուգումների թիվը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FF53AF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proofErr w:type="spellStart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ru-RU" w:eastAsia="ru-RU"/>
              </w:rPr>
              <w:t>Հայտն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hy-AM" w:eastAsia="ru-RU"/>
              </w:rPr>
              <w:t>ա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ru-RU" w:eastAsia="ru-RU"/>
              </w:rPr>
              <w:t>բերված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ru-RU" w:eastAsia="ru-RU"/>
              </w:rPr>
              <w:t>խախտումներ</w:t>
            </w:r>
            <w:proofErr w:type="spellEnd"/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hy-AM" w:eastAsia="ru-RU"/>
              </w:rPr>
              <w:t>ի կշիռների հանրագումարը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3A1F5D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6"/>
                <w:szCs w:val="16"/>
                <w:lang w:val="hy-AM" w:eastAsia="ru-RU"/>
              </w:rPr>
              <w:t>Հայտնաբերված խախտումների միջինացված ցուցանիշները</w:t>
            </w:r>
          </w:p>
        </w:tc>
      </w:tr>
      <w:tr w:rsidR="00DA23E1" w14:paraId="4B7F5B18" w14:textId="77777777" w:rsidTr="004557E1">
        <w:trPr>
          <w:trHeight w:val="6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775993" w14:textId="77777777" w:rsidR="00DA23E1" w:rsidRDefault="00DA23E1" w:rsidP="004557E1">
            <w:pPr>
              <w:spacing w:after="0" w:line="240" w:lineRule="auto"/>
              <w:ind w:left="-104"/>
              <w:rPr>
                <w:rFonts w:ascii="GHEA Grapalat" w:hAnsi="GHEA Grapalat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 xml:space="preserve">  1</w:t>
            </w:r>
            <w:r>
              <w:rPr>
                <w:rFonts w:ascii="Cambria Math" w:hAnsi="Cambria Math" w:cs="Cambria Math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B41679" w14:textId="77777777" w:rsidR="00DA23E1" w:rsidRDefault="00DA23E1" w:rsidP="004557E1">
            <w:pPr>
              <w:ind w:left="-84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shd w:val="clear" w:color="auto" w:fill="FFFFFF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 w:eastAsia="ru-RU"/>
              </w:rPr>
              <w:t>Ն/Դ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ACEF107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00187E9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23,4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C7E4D6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4,68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0A2D4DC" w14:textId="77777777" w:rsidR="00DA23E1" w:rsidRPr="00A67065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CCE413" w14:textId="77777777" w:rsidR="00DA23E1" w:rsidRPr="005C4A17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5C4A17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116.64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C5672CF" w14:textId="77777777" w:rsidR="00DA23E1" w:rsidRPr="005C4A17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5C4A17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58.32</w:t>
            </w:r>
          </w:p>
        </w:tc>
      </w:tr>
      <w:tr w:rsidR="00DA23E1" w14:paraId="7BA5ED70" w14:textId="77777777" w:rsidTr="004557E1">
        <w:trPr>
          <w:trHeight w:val="4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FD69722" w14:textId="77777777" w:rsidR="00DA23E1" w:rsidRDefault="00DA23E1" w:rsidP="004557E1">
            <w:pPr>
              <w:spacing w:after="0" w:line="240" w:lineRule="auto"/>
              <w:ind w:firstLine="21"/>
              <w:rPr>
                <w:rFonts w:ascii="GHEA Grapalat" w:hAnsi="GHEA Grapalat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2</w:t>
            </w:r>
            <w:r>
              <w:rPr>
                <w:rFonts w:ascii="Cambria Math" w:hAnsi="Cambria Math" w:cs="Cambria Math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670F761" w14:textId="77777777" w:rsidR="00DA23E1" w:rsidRDefault="00DA23E1" w:rsidP="004557E1">
            <w:pPr>
              <w:ind w:left="-84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shd w:val="clear" w:color="auto" w:fill="FFFFFF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 w:eastAsia="ru-RU"/>
              </w:rPr>
              <w:t>Հ/Կ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CEF9D1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527588" w14:textId="7D96569D" w:rsidR="00DA23E1" w:rsidRPr="00AE2743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4</w:t>
            </w:r>
            <w:r w:rsidR="00AF6BD7"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95</w:t>
            </w:r>
            <w:r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,26</w:t>
            </w:r>
            <w:r w:rsidR="00B4500A"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**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73BB7E" w14:textId="77777777" w:rsidR="00DA23E1" w:rsidRPr="00AE2743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5,96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ECCFDA" w14:textId="77777777" w:rsidR="00DA23E1" w:rsidRPr="00A67065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59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EEBA6F" w14:textId="77777777" w:rsidR="00DA23E1" w:rsidRPr="005C4A17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5C4A17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598.03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72FECD" w14:textId="77777777" w:rsidR="00DA23E1" w:rsidRPr="005C4A17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5C4A17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10.13</w:t>
            </w:r>
          </w:p>
        </w:tc>
      </w:tr>
      <w:tr w:rsidR="00DA23E1" w14:paraId="2273345C" w14:textId="77777777" w:rsidTr="004557E1">
        <w:trPr>
          <w:trHeight w:val="119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92E244" w14:textId="77777777" w:rsidR="00DA23E1" w:rsidRDefault="00DA23E1" w:rsidP="004557E1">
            <w:pPr>
              <w:spacing w:line="240" w:lineRule="auto"/>
              <w:rPr>
                <w:rFonts w:ascii="GHEA Grapalat" w:hAnsi="GHEA Grapalat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3</w:t>
            </w:r>
            <w:r>
              <w:rPr>
                <w:rFonts w:ascii="Cambria Math" w:hAnsi="Cambria Math" w:cs="Cambria Math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․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FF18DA" w14:textId="77777777" w:rsidR="00DA23E1" w:rsidRDefault="00DA23E1" w:rsidP="004557E1">
            <w:pPr>
              <w:ind w:left="-84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 w:eastAsia="ru-RU"/>
              </w:rPr>
              <w:t xml:space="preserve">Ն/Մ </w:t>
            </w:r>
            <w:r>
              <w:rPr>
                <w:rFonts w:ascii="GHEA Grapalat" w:eastAsia="Times New Roman" w:hAnsi="GHEA Grapalat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 xml:space="preserve">և </w:t>
            </w: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 w:eastAsia="ru-RU"/>
              </w:rPr>
              <w:t>Մ/Մ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694E57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eastAsia="ru-RU"/>
              </w:rPr>
              <w:t>9</w:t>
            </w:r>
          </w:p>
          <w:p w14:paraId="4BEF5611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Ն/Մ 2</w:t>
            </w:r>
          </w:p>
          <w:p w14:paraId="37C5AAC2" w14:textId="77777777" w:rsidR="00DA23E1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Մ/Մ-7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534B37D" w14:textId="0079531F" w:rsidR="00DA23E1" w:rsidRPr="00AE2743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32,</w:t>
            </w:r>
            <w:r w:rsidR="00BB29B4"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6</w:t>
            </w:r>
            <w:r w:rsidR="00B4500A"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**</w:t>
            </w:r>
            <w:r w:rsidR="00686312"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*</w:t>
            </w:r>
          </w:p>
          <w:p w14:paraId="41D6822D" w14:textId="77777777" w:rsidR="00DA23E1" w:rsidRPr="00AE2743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Ն/Մ 6,9</w:t>
            </w:r>
          </w:p>
          <w:p w14:paraId="5D4CC1ED" w14:textId="77777777" w:rsidR="00DA23E1" w:rsidRPr="00AE2743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 xml:space="preserve">Մ/Մ- </w:t>
            </w:r>
            <w:r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u w:val="single"/>
                <w:lang w:val="hy-AM" w:eastAsia="ru-RU"/>
              </w:rPr>
              <w:t>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4B8892C" w14:textId="25AE6500" w:rsidR="00DA23E1" w:rsidRPr="00AE2743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u w:val="single"/>
                <w:lang w:val="hy-AM" w:eastAsia="ru-RU"/>
              </w:rPr>
            </w:pPr>
            <w:r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u w:val="single"/>
                <w:lang w:val="hy-AM" w:eastAsia="ru-RU"/>
              </w:rPr>
              <w:t>3,6</w:t>
            </w:r>
            <w:r w:rsidR="00A95FFD"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u w:val="single"/>
                <w:lang w:val="hy-AM" w:eastAsia="ru-RU"/>
              </w:rPr>
              <w:t>8</w:t>
            </w:r>
            <w:r w:rsidR="00B4500A"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u w:val="single"/>
                <w:lang w:val="hy-AM" w:eastAsia="ru-RU"/>
              </w:rPr>
              <w:t>**</w:t>
            </w:r>
            <w:r w:rsidR="00686312"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u w:val="single"/>
                <w:lang w:val="hy-AM" w:eastAsia="ru-RU"/>
              </w:rPr>
              <w:t>**</w:t>
            </w:r>
          </w:p>
          <w:p w14:paraId="1673424A" w14:textId="77777777" w:rsidR="00DA23E1" w:rsidRPr="00AE2743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Ն/Մ 3,48</w:t>
            </w:r>
          </w:p>
          <w:p w14:paraId="5EC2DA89" w14:textId="77777777" w:rsidR="00DA23E1" w:rsidRPr="00AE2743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u w:val="single"/>
                <w:lang w:val="hy-AM" w:eastAsia="ru-RU"/>
              </w:rPr>
            </w:pPr>
            <w:r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 xml:space="preserve">Մ/Մ- </w:t>
            </w:r>
            <w:r w:rsidRPr="00AE2743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u w:val="single"/>
                <w:lang w:val="hy-AM" w:eastAsia="ru-RU"/>
              </w:rPr>
              <w:t>3,7</w:t>
            </w:r>
          </w:p>
          <w:p w14:paraId="7446A8CF" w14:textId="77777777" w:rsidR="00DA23E1" w:rsidRPr="00AE2743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714BE" w14:textId="0D6DB2BC" w:rsidR="00DA23E1" w:rsidRPr="00B4500A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eastAsia="ru-RU"/>
              </w:rPr>
              <w:t>20</w:t>
            </w:r>
            <w:r w:rsidR="00B4500A"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val="hy-AM" w:eastAsia="ru-RU"/>
              </w:rPr>
              <w:t>*</w:t>
            </w:r>
          </w:p>
          <w:p w14:paraId="5173AD7D" w14:textId="77777777" w:rsidR="00DA23E1" w:rsidRDefault="00DA23E1" w:rsidP="004557E1">
            <w:pPr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eastAsia="ru-RU"/>
              </w:rPr>
              <w:t>7</w:t>
            </w:r>
          </w:p>
          <w:p w14:paraId="5DD386E6" w14:textId="77777777" w:rsidR="00DA23E1" w:rsidRPr="000472EE" w:rsidRDefault="00DA23E1" w:rsidP="004557E1">
            <w:pPr>
              <w:jc w:val="center"/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Sylfaen"/>
                <w:b/>
                <w:bCs/>
                <w:color w:val="222A35" w:themeColor="text2" w:themeShade="8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6EB1460" w14:textId="77777777" w:rsidR="00DA23E1" w:rsidRPr="005C4A17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5C4A17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357.51</w:t>
            </w:r>
          </w:p>
          <w:p w14:paraId="53797327" w14:textId="77777777" w:rsidR="00DA23E1" w:rsidRPr="005C4A17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5C4A17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130.84</w:t>
            </w:r>
          </w:p>
          <w:p w14:paraId="7543758F" w14:textId="77777777" w:rsidR="00DA23E1" w:rsidRPr="005C4A17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</w:pPr>
            <w:r w:rsidRPr="005C4A17">
              <w:rPr>
                <w:rFonts w:ascii="GHEA Grapalat" w:hAnsi="GHEA Grapalat" w:cs="Sylfaen"/>
                <w:b/>
                <w:bCs/>
                <w:sz w:val="18"/>
                <w:szCs w:val="18"/>
                <w:lang w:eastAsia="ru-RU"/>
              </w:rPr>
              <w:t>226.67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01D959" w14:textId="77777777" w:rsidR="00DA23E1" w:rsidRPr="005C4A17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4A17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eastAsia="ru-RU"/>
              </w:rPr>
              <w:t>17.87</w:t>
            </w:r>
          </w:p>
          <w:p w14:paraId="39FC0279" w14:textId="77777777" w:rsidR="00DA23E1" w:rsidRPr="005C4A17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4A17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eastAsia="ru-RU"/>
              </w:rPr>
              <w:t>18.69</w:t>
            </w:r>
          </w:p>
          <w:p w14:paraId="13F7BF51" w14:textId="77777777" w:rsidR="00DA23E1" w:rsidRPr="005C4A17" w:rsidRDefault="00DA23E1" w:rsidP="004557E1">
            <w:pPr>
              <w:ind w:left="-88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eastAsia="ru-RU"/>
              </w:rPr>
            </w:pPr>
            <w:r w:rsidRPr="005C4A17">
              <w:rPr>
                <w:rFonts w:ascii="GHEA Grapalat" w:hAnsi="GHEA Grapalat" w:cs="Sylfaen"/>
                <w:b/>
                <w:bCs/>
                <w:sz w:val="18"/>
                <w:szCs w:val="18"/>
                <w:u w:val="single"/>
                <w:lang w:eastAsia="ru-RU"/>
              </w:rPr>
              <w:t>17.4</w:t>
            </w:r>
          </w:p>
        </w:tc>
      </w:tr>
    </w:tbl>
    <w:bookmarkEnd w:id="1"/>
    <w:bookmarkEnd w:id="2"/>
    <w:p w14:paraId="38AC6E29" w14:textId="176DC901" w:rsidR="00DA23E1" w:rsidRPr="00AE2743" w:rsidRDefault="00B4500A" w:rsidP="00AE2743">
      <w:pPr>
        <w:spacing w:line="240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AE2743">
        <w:rPr>
          <w:rFonts w:ascii="GHEA Grapalat" w:hAnsi="GHEA Grapalat"/>
          <w:i/>
          <w:iCs/>
          <w:sz w:val="18"/>
          <w:szCs w:val="18"/>
          <w:lang w:val="hy-AM"/>
        </w:rPr>
        <w:t>*</w:t>
      </w:r>
      <w:r w:rsidR="00DA23E1" w:rsidRPr="00AE2743">
        <w:rPr>
          <w:rFonts w:ascii="GHEA Grapalat" w:hAnsi="GHEA Grapalat"/>
          <w:i/>
          <w:iCs/>
          <w:sz w:val="18"/>
          <w:szCs w:val="18"/>
          <w:lang w:val="hy-AM"/>
        </w:rPr>
        <w:t>3 ուսումնական հաստատություն ստուգվել է և</w:t>
      </w:r>
      <w:r w:rsidR="00316520" w:rsidRPr="00AE2743">
        <w:rPr>
          <w:rFonts w:ascii="GHEA Grapalat" w:hAnsi="GHEA Grapalat"/>
          <w:i/>
          <w:iCs/>
          <w:sz w:val="18"/>
          <w:szCs w:val="18"/>
          <w:lang w:val="hy-AM"/>
        </w:rPr>
        <w:t>՛</w:t>
      </w:r>
      <w:r w:rsidR="00DA23E1" w:rsidRPr="00AE2743">
        <w:rPr>
          <w:rFonts w:ascii="GHEA Grapalat" w:hAnsi="GHEA Grapalat"/>
          <w:i/>
          <w:iCs/>
          <w:sz w:val="18"/>
          <w:szCs w:val="18"/>
          <w:lang w:val="hy-AM"/>
        </w:rPr>
        <w:t xml:space="preserve"> նախնական</w:t>
      </w:r>
      <w:r w:rsidR="00316520" w:rsidRPr="00AE2743">
        <w:rPr>
          <w:rFonts w:ascii="GHEA Grapalat" w:hAnsi="GHEA Grapalat"/>
          <w:i/>
          <w:iCs/>
          <w:sz w:val="18"/>
          <w:szCs w:val="18"/>
          <w:lang w:val="hy-AM"/>
        </w:rPr>
        <w:t>,</w:t>
      </w:r>
      <w:r w:rsidR="00DA23E1" w:rsidRPr="00AE2743">
        <w:rPr>
          <w:rFonts w:ascii="GHEA Grapalat" w:hAnsi="GHEA Grapalat"/>
          <w:i/>
          <w:iCs/>
          <w:sz w:val="18"/>
          <w:szCs w:val="18"/>
          <w:lang w:val="hy-AM"/>
        </w:rPr>
        <w:t xml:space="preserve"> և</w:t>
      </w:r>
      <w:r w:rsidR="00316520" w:rsidRPr="00AE2743">
        <w:rPr>
          <w:rFonts w:ascii="GHEA Grapalat" w:hAnsi="GHEA Grapalat"/>
          <w:i/>
          <w:iCs/>
          <w:sz w:val="18"/>
          <w:szCs w:val="18"/>
          <w:lang w:val="hy-AM"/>
        </w:rPr>
        <w:t>՛</w:t>
      </w:r>
      <w:r w:rsidR="00DA23E1" w:rsidRPr="00AE2743">
        <w:rPr>
          <w:rFonts w:ascii="GHEA Grapalat" w:hAnsi="GHEA Grapalat"/>
          <w:i/>
          <w:iCs/>
          <w:sz w:val="18"/>
          <w:szCs w:val="18"/>
          <w:lang w:val="hy-AM"/>
        </w:rPr>
        <w:t xml:space="preserve"> միջին մասնագիտական ծրագրերով։</w:t>
      </w:r>
    </w:p>
    <w:p w14:paraId="6CBE4BE5" w14:textId="2E6571F7" w:rsidR="001115C2" w:rsidRPr="00AE2743" w:rsidRDefault="00B4500A" w:rsidP="00AE2743">
      <w:pPr>
        <w:spacing w:line="240" w:lineRule="auto"/>
        <w:rPr>
          <w:rFonts w:ascii="GHEA Grapalat" w:hAnsi="GHEA Grapalat" w:cs="Sylfaen"/>
          <w:b/>
          <w:bCs/>
          <w:i/>
          <w:iCs/>
          <w:color w:val="222A35" w:themeColor="text2" w:themeShade="80"/>
          <w:sz w:val="18"/>
          <w:szCs w:val="18"/>
          <w:lang w:val="hy-AM" w:eastAsia="ru-RU"/>
        </w:rPr>
      </w:pPr>
      <w:r w:rsidRPr="00AE2743">
        <w:rPr>
          <w:rFonts w:ascii="GHEA Grapalat" w:hAnsi="GHEA Grapalat"/>
          <w:i/>
          <w:iCs/>
          <w:sz w:val="18"/>
          <w:szCs w:val="18"/>
          <w:lang w:val="hy-AM"/>
        </w:rPr>
        <w:t>*</w:t>
      </w:r>
      <w:r w:rsidR="001115C2" w:rsidRPr="00AE2743">
        <w:rPr>
          <w:rFonts w:ascii="GHEA Grapalat" w:hAnsi="GHEA Grapalat"/>
          <w:i/>
          <w:iCs/>
          <w:sz w:val="18"/>
          <w:szCs w:val="18"/>
          <w:lang w:val="hy-AM"/>
        </w:rPr>
        <w:t>*</w:t>
      </w:r>
      <w:r w:rsidRPr="00AE2743">
        <w:rPr>
          <w:rFonts w:ascii="GHEA Grapalat" w:hAnsi="GHEA Grapalat"/>
          <w:i/>
          <w:iCs/>
          <w:sz w:val="18"/>
          <w:szCs w:val="18"/>
          <w:lang w:val="hy-AM"/>
        </w:rPr>
        <w:t>2024</w:t>
      </w:r>
      <w:r w:rsidR="001115C2" w:rsidRPr="00AE2743">
        <w:rPr>
          <w:rFonts w:ascii="GHEA Grapalat" w:hAnsi="GHEA Grapalat"/>
          <w:i/>
          <w:iCs/>
          <w:sz w:val="18"/>
          <w:szCs w:val="18"/>
          <w:lang w:val="hy-AM"/>
        </w:rPr>
        <w:t xml:space="preserve"> </w:t>
      </w:r>
      <w:r w:rsidRPr="00AE2743">
        <w:rPr>
          <w:rFonts w:ascii="GHEA Grapalat" w:hAnsi="GHEA Grapalat"/>
          <w:i/>
          <w:iCs/>
          <w:sz w:val="18"/>
          <w:szCs w:val="18"/>
          <w:lang w:val="hy-AM"/>
        </w:rPr>
        <w:t>թվականի տարեկան հաշվետվության համապատասխան կետու</w:t>
      </w:r>
      <w:r w:rsidR="00E86B26" w:rsidRPr="00AE2743">
        <w:rPr>
          <w:rFonts w:ascii="GHEA Grapalat" w:hAnsi="GHEA Grapalat"/>
          <w:i/>
          <w:iCs/>
          <w:sz w:val="18"/>
          <w:szCs w:val="18"/>
          <w:lang w:val="hy-AM"/>
        </w:rPr>
        <w:t>մ հրապարակվե</w:t>
      </w:r>
      <w:r w:rsidR="00686312" w:rsidRPr="00AE2743">
        <w:rPr>
          <w:rFonts w:ascii="GHEA Grapalat" w:hAnsi="GHEA Grapalat"/>
          <w:i/>
          <w:iCs/>
          <w:sz w:val="18"/>
          <w:szCs w:val="18"/>
          <w:lang w:val="hy-AM"/>
        </w:rPr>
        <w:t>լ</w:t>
      </w:r>
      <w:r w:rsidR="00E86B26" w:rsidRPr="00AE2743">
        <w:rPr>
          <w:rFonts w:ascii="GHEA Grapalat" w:hAnsi="GHEA Grapalat"/>
          <w:i/>
          <w:iCs/>
          <w:sz w:val="18"/>
          <w:szCs w:val="18"/>
          <w:lang w:val="hy-AM"/>
        </w:rPr>
        <w:t xml:space="preserve"> </w:t>
      </w:r>
      <w:r w:rsidR="00B3572F" w:rsidRPr="00AE2743">
        <w:rPr>
          <w:rFonts w:ascii="GHEA Grapalat" w:hAnsi="GHEA Grapalat"/>
          <w:i/>
          <w:iCs/>
          <w:sz w:val="18"/>
          <w:szCs w:val="18"/>
          <w:lang w:val="hy-AM"/>
        </w:rPr>
        <w:t xml:space="preserve">է </w:t>
      </w:r>
      <w:r w:rsidR="001115C2" w:rsidRPr="00AE2743">
        <w:rPr>
          <w:rFonts w:ascii="GHEA Grapalat" w:hAnsi="GHEA Grapalat" w:cs="Sylfaen"/>
          <w:b/>
          <w:bCs/>
          <w:i/>
          <w:iCs/>
          <w:color w:val="222A35" w:themeColor="text2" w:themeShade="80"/>
          <w:sz w:val="18"/>
          <w:szCs w:val="18"/>
          <w:lang w:val="hy-AM" w:eastAsia="ru-RU"/>
        </w:rPr>
        <w:t>459,26</w:t>
      </w:r>
    </w:p>
    <w:p w14:paraId="4C1D0831" w14:textId="03DF09F8" w:rsidR="00BB29B4" w:rsidRPr="00AE2743" w:rsidRDefault="00686312" w:rsidP="00AE2743">
      <w:pPr>
        <w:spacing w:line="240" w:lineRule="auto"/>
        <w:rPr>
          <w:rFonts w:ascii="GHEA Grapalat" w:hAnsi="GHEA Grapalat"/>
          <w:i/>
          <w:iCs/>
          <w:sz w:val="18"/>
          <w:szCs w:val="18"/>
          <w:lang w:val="hy-AM"/>
        </w:rPr>
      </w:pPr>
      <w:r w:rsidRPr="00AE2743">
        <w:rPr>
          <w:rFonts w:ascii="GHEA Grapalat" w:hAnsi="GHEA Grapalat" w:cs="Sylfaen"/>
          <w:b/>
          <w:bCs/>
          <w:i/>
          <w:iCs/>
          <w:color w:val="222A35" w:themeColor="text2" w:themeShade="80"/>
          <w:sz w:val="18"/>
          <w:szCs w:val="18"/>
          <w:lang w:val="hy-AM" w:eastAsia="ru-RU"/>
        </w:rPr>
        <w:t>***</w:t>
      </w:r>
      <w:r w:rsidRPr="00AE2743">
        <w:rPr>
          <w:rFonts w:ascii="GHEA Grapalat" w:hAnsi="GHEA Grapalat"/>
          <w:i/>
          <w:iCs/>
          <w:sz w:val="18"/>
          <w:szCs w:val="18"/>
          <w:lang w:val="hy-AM"/>
        </w:rPr>
        <w:t>2024 թվականի տարեկան հաշվետվության համապատասխան կետում հրապարակվել է</w:t>
      </w:r>
      <w:r w:rsidR="00BB29B4" w:rsidRPr="00AE2743">
        <w:rPr>
          <w:rFonts w:ascii="GHEA Grapalat" w:hAnsi="GHEA Grapalat"/>
          <w:i/>
          <w:iCs/>
          <w:sz w:val="18"/>
          <w:szCs w:val="18"/>
          <w:lang w:val="hy-AM"/>
        </w:rPr>
        <w:t xml:space="preserve"> 32,8</w:t>
      </w:r>
    </w:p>
    <w:p w14:paraId="0126F6FD" w14:textId="420F326E" w:rsidR="00686312" w:rsidRPr="00AE2743" w:rsidRDefault="00BB29B4" w:rsidP="00AE2743">
      <w:pPr>
        <w:spacing w:line="240" w:lineRule="auto"/>
        <w:rPr>
          <w:rFonts w:ascii="GHEA Grapalat" w:hAnsi="GHEA Grapalat" w:cs="Sylfaen"/>
          <w:b/>
          <w:bCs/>
          <w:i/>
          <w:iCs/>
          <w:color w:val="222A35" w:themeColor="text2" w:themeShade="80"/>
          <w:sz w:val="18"/>
          <w:szCs w:val="18"/>
          <w:lang w:val="hy-AM" w:eastAsia="ru-RU"/>
        </w:rPr>
      </w:pPr>
      <w:r w:rsidRPr="00AE2743">
        <w:rPr>
          <w:rFonts w:ascii="GHEA Grapalat" w:hAnsi="GHEA Grapalat" w:cs="Sylfaen"/>
          <w:b/>
          <w:bCs/>
          <w:i/>
          <w:iCs/>
          <w:color w:val="222A35" w:themeColor="text2" w:themeShade="80"/>
          <w:sz w:val="18"/>
          <w:szCs w:val="18"/>
          <w:lang w:val="hy-AM" w:eastAsia="ru-RU"/>
        </w:rPr>
        <w:t>****</w:t>
      </w:r>
      <w:r w:rsidRPr="00AE2743">
        <w:rPr>
          <w:rFonts w:ascii="GHEA Grapalat" w:hAnsi="GHEA Grapalat"/>
          <w:i/>
          <w:iCs/>
          <w:sz w:val="18"/>
          <w:szCs w:val="18"/>
          <w:lang w:val="hy-AM"/>
        </w:rPr>
        <w:t xml:space="preserve">2024 թվականի տարեկան հաշվետվության համապատասխան կետում հրապարակվել է </w:t>
      </w:r>
      <w:r w:rsidR="00714BE1">
        <w:rPr>
          <w:rFonts w:ascii="GHEA Grapalat" w:hAnsi="GHEA Grapalat" w:cs="Sylfaen"/>
          <w:b/>
          <w:bCs/>
          <w:i/>
          <w:iCs/>
          <w:color w:val="222A35" w:themeColor="text2" w:themeShade="80"/>
          <w:sz w:val="18"/>
          <w:szCs w:val="18"/>
          <w:lang w:val="hy-AM" w:eastAsia="ru-RU"/>
        </w:rPr>
        <w:t>3,</w:t>
      </w:r>
      <w:r w:rsidR="00027634">
        <w:rPr>
          <w:rFonts w:ascii="GHEA Grapalat" w:hAnsi="GHEA Grapalat" w:cs="Sylfaen"/>
          <w:b/>
          <w:bCs/>
          <w:i/>
          <w:iCs/>
          <w:color w:val="222A35" w:themeColor="text2" w:themeShade="80"/>
          <w:sz w:val="18"/>
          <w:szCs w:val="18"/>
          <w:lang w:val="hy-AM" w:eastAsia="ru-RU"/>
        </w:rPr>
        <w:t>64</w:t>
      </w:r>
    </w:p>
    <w:p w14:paraId="45099D36" w14:textId="38353851" w:rsidR="00B4500A" w:rsidRPr="00316520" w:rsidRDefault="00E31AB1" w:rsidP="00B4500A">
      <w:pPr>
        <w:spacing w:line="240" w:lineRule="auto"/>
        <w:rPr>
          <w:i/>
          <w:iCs/>
          <w:lang w:val="hy-AM"/>
        </w:rPr>
      </w:pPr>
      <w:r>
        <w:rPr>
          <w:i/>
          <w:iCs/>
          <w:lang w:val="hy-AM"/>
        </w:rPr>
        <w:t xml:space="preserve"> </w:t>
      </w:r>
    </w:p>
    <w:p w14:paraId="2513E345" w14:textId="77777777" w:rsidR="009B4F24" w:rsidRDefault="009B4F24" w:rsidP="009B4F24">
      <w:pPr>
        <w:shd w:val="clear" w:color="auto" w:fill="FFFFFF"/>
        <w:spacing w:after="0"/>
        <w:ind w:firstLine="567"/>
        <w:jc w:val="right"/>
        <w:rPr>
          <w:rFonts w:ascii="GHEA Grapalat" w:hAnsi="GHEA Grapalat"/>
          <w:b/>
          <w:sz w:val="20"/>
          <w:szCs w:val="20"/>
          <w:u w:val="single"/>
          <w:lang w:val="hy-AM"/>
        </w:rPr>
      </w:pPr>
    </w:p>
    <w:p w14:paraId="07028CB6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lastRenderedPageBreak/>
        <w:t xml:space="preserve">3) Ըստ առանձին ստուգմանը հատկացված ֆինանսական միջոցները և մարդկային ռեսուրսները </w:t>
      </w:r>
      <w:r>
        <w:rPr>
          <w:rFonts w:ascii="GHEA Grapalat" w:hAnsi="GHEA Grapalat"/>
          <w:sz w:val="24"/>
          <w:szCs w:val="24"/>
          <w:lang w:val="hy-AM"/>
        </w:rPr>
        <w:t xml:space="preserve">հաշվարկվել են հաշվետու ժամանակահատվածում ստուգման համար հատկացված ֆինանսական միջոցների և մարդկային ռեսուրսների միջին ցուցանիշներով </w:t>
      </w:r>
      <w:r>
        <w:rPr>
          <w:rFonts w:ascii="GHEA Grapalat" w:hAnsi="GHEA Grapalat"/>
          <w:b/>
          <w:sz w:val="24"/>
          <w:szCs w:val="24"/>
          <w:lang w:val="hy-AM"/>
        </w:rPr>
        <w:t>(</w:t>
      </w:r>
      <w:r>
        <w:rPr>
          <w:rFonts w:ascii="GHEA Grapalat" w:hAnsi="GHEA Grapalat"/>
          <w:bCs/>
          <w:sz w:val="24"/>
          <w:szCs w:val="24"/>
          <w:lang w:val="hy-AM"/>
        </w:rPr>
        <w:t>աղյուսակ 9</w:t>
      </w:r>
      <w:r>
        <w:rPr>
          <w:rFonts w:ascii="GHEA Grapalat" w:hAnsi="GHEA Grapalat"/>
          <w:b/>
          <w:sz w:val="24"/>
          <w:szCs w:val="24"/>
          <w:lang w:val="hy-AM"/>
        </w:rPr>
        <w:t>).</w:t>
      </w:r>
    </w:p>
    <w:p w14:paraId="07DCCFE7" w14:textId="77777777" w:rsidR="009B4F24" w:rsidRDefault="009B4F24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0452FD2C" w14:textId="77777777" w:rsidR="00C909A3" w:rsidRDefault="009B4F24" w:rsidP="009B4F24">
      <w:pPr>
        <w:shd w:val="clear" w:color="auto" w:fill="FFFFFF"/>
        <w:spacing w:after="0"/>
        <w:ind w:firstLine="567"/>
        <w:jc w:val="right"/>
        <w:rPr>
          <w:rFonts w:ascii="GHEA Grapalat" w:hAnsi="GHEA Grapalat"/>
          <w:b/>
          <w:color w:val="222A35" w:themeColor="text2" w:themeShade="80"/>
          <w:sz w:val="20"/>
          <w:szCs w:val="20"/>
          <w:u w:val="single"/>
          <w:lang w:val="hy-AM"/>
        </w:rPr>
      </w:pPr>
      <w:r w:rsidRPr="00C909A3">
        <w:rPr>
          <w:rFonts w:ascii="GHEA Grapalat" w:hAnsi="GHEA Grapalat"/>
          <w:b/>
          <w:color w:val="222A35" w:themeColor="text2" w:themeShade="80"/>
          <w:sz w:val="20"/>
          <w:szCs w:val="20"/>
          <w:u w:val="single"/>
          <w:lang w:val="hy-AM"/>
        </w:rPr>
        <w:t>Աղյուսակ 9</w:t>
      </w:r>
    </w:p>
    <w:p w14:paraId="3D2083B8" w14:textId="42489DB4" w:rsidR="009B4F24" w:rsidRPr="009B41A4" w:rsidRDefault="00C909A3" w:rsidP="00321D8A">
      <w:pPr>
        <w:shd w:val="clear" w:color="auto" w:fill="FFFFFF"/>
        <w:spacing w:after="0"/>
        <w:ind w:firstLine="567"/>
        <w:jc w:val="right"/>
        <w:rPr>
          <w:rFonts w:ascii="GHEA Grapalat" w:hAnsi="GHEA Grapalat"/>
          <w:b/>
          <w:i/>
          <w:iCs/>
          <w:sz w:val="20"/>
          <w:szCs w:val="20"/>
          <w:u w:val="single"/>
          <w:lang w:val="hy-AM"/>
        </w:rPr>
      </w:pPr>
      <w:r w:rsidRPr="00C909A3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9B41A4">
        <w:rPr>
          <w:rFonts w:ascii="GHEA Grapalat" w:hAnsi="GHEA Grapalat"/>
          <w:i/>
          <w:iCs/>
          <w:sz w:val="20"/>
          <w:szCs w:val="20"/>
          <w:lang w:val="hy-AM"/>
        </w:rPr>
        <w:t>Հաշվարկները ներկայացված են ըստ եռամսյակային  միջին ցուցանիշնե</w:t>
      </w:r>
      <w:r w:rsidR="00321D8A" w:rsidRPr="009B41A4">
        <w:rPr>
          <w:rFonts w:ascii="GHEA Grapalat" w:hAnsi="GHEA Grapalat"/>
          <w:i/>
          <w:iCs/>
          <w:sz w:val="20"/>
          <w:szCs w:val="20"/>
          <w:lang w:val="hy-AM"/>
        </w:rPr>
        <w:t>րի</w:t>
      </w:r>
    </w:p>
    <w:tbl>
      <w:tblPr>
        <w:tblStyle w:val="a8"/>
        <w:tblW w:w="10028" w:type="dxa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836"/>
        <w:gridCol w:w="1671"/>
        <w:gridCol w:w="1560"/>
        <w:gridCol w:w="1451"/>
        <w:gridCol w:w="1250"/>
        <w:gridCol w:w="1260"/>
      </w:tblGrid>
      <w:tr w:rsidR="009B4F24" w14:paraId="189D75D6" w14:textId="77777777" w:rsidTr="00E93D63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6A0987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Ցուցանիշ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5FC5829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Հաշվետու ժամանակահատված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CEE7C0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Ոլորտ</w:t>
            </w:r>
          </w:p>
        </w:tc>
      </w:tr>
      <w:tr w:rsidR="009B4F24" w14:paraId="73FA7419" w14:textId="77777777" w:rsidTr="00DA529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BE5859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05044B9" w14:textId="77777777" w:rsidR="009B4F24" w:rsidRDefault="009B4F24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692063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Ն/Դ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60C2BC4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Հ/Կ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F7D01A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Ն/Մ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CF73D61" w14:textId="77777777" w:rsidR="009B4F24" w:rsidRDefault="009B4F2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Մ/Մ</w:t>
            </w:r>
          </w:p>
        </w:tc>
      </w:tr>
      <w:tr w:rsidR="00DA529E" w14:paraId="3084D5E0" w14:textId="4B1B9B01" w:rsidTr="00DA529E"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A44D652" w14:textId="77777777" w:rsidR="00DA529E" w:rsidRDefault="00DA529E">
            <w:pPr>
              <w:pStyle w:val="a6"/>
              <w:spacing w:line="276" w:lineRule="auto"/>
              <w:ind w:left="0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 xml:space="preserve">Ըստ առանձին ստուգմանը հատկացված ֆինանսական միջոցները և մարդկային ռեսուրսները </w:t>
            </w:r>
            <w:r>
              <w:rPr>
                <w:rFonts w:ascii="GHEA Grapalat" w:hAnsi="GHEA Grapalat"/>
                <w:b/>
                <w:bCs/>
                <w:i/>
                <w:color w:val="222A35" w:themeColor="text2" w:themeShade="80"/>
                <w:sz w:val="20"/>
                <w:szCs w:val="20"/>
                <w:lang w:val="hy-AM"/>
              </w:rPr>
              <w:t>դրամ/աշխատակից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DEEFB6" w14:textId="4ADFF842" w:rsidR="00DA529E" w:rsidRDefault="00DA529E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9F16D9" w14:textId="426D933F" w:rsidR="00DA529E" w:rsidRPr="00407C74" w:rsidRDefault="002D50A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16187</w:t>
            </w:r>
            <w:r w:rsidR="00DA529E" w:rsidRPr="00407C74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/1,1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3C54E2" w14:textId="1F5141DD" w:rsidR="00DA529E" w:rsidRPr="00407C74" w:rsidRDefault="002D50A2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75187</w:t>
            </w:r>
            <w:r w:rsidR="00DA529E" w:rsidRPr="00407C74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/1,6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F4F3816" w14:textId="49D9B610" w:rsidR="00DA529E" w:rsidRDefault="00DA529E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bdr w:val="single" w:sz="4" w:space="0" w:color="auto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 xml:space="preserve">  </w:t>
            </w:r>
            <w:r w:rsidRPr="009D665C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51600</w:t>
            </w:r>
            <w:r w:rsidR="000D0C9F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/1,1</w:t>
            </w:r>
          </w:p>
          <w:p w14:paraId="575D474A" w14:textId="54281615" w:rsidR="00DA529E" w:rsidRPr="00407C74" w:rsidRDefault="00DA529E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2787B9" w14:textId="732592D4" w:rsidR="00DA529E" w:rsidRDefault="00DA529E" w:rsidP="000D0C9F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 w:rsidRPr="000D0C9F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44016</w:t>
            </w:r>
            <w:r w:rsidR="000D0C9F" w:rsidRPr="000D0C9F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/</w:t>
            </w:r>
            <w:r w:rsidR="000D0C9F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1,1</w:t>
            </w:r>
          </w:p>
          <w:p w14:paraId="7D1650D9" w14:textId="77777777" w:rsidR="00DA529E" w:rsidRPr="00407C74" w:rsidRDefault="00DA529E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</w:p>
        </w:tc>
      </w:tr>
      <w:tr w:rsidR="00CC4EE8" w14:paraId="2D2E67B0" w14:textId="77777777" w:rsidTr="00DA529E"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30DACBE" w14:textId="77777777" w:rsidR="00CC4EE8" w:rsidRDefault="00CC4EE8" w:rsidP="00CC4EE8">
            <w:pPr>
              <w:spacing w:after="0" w:line="240" w:lineRule="auto"/>
              <w:rPr>
                <w:rFonts w:ascii="GHEA Grapalat" w:eastAsia="Times New Roman" w:hAnsi="GHEA Grapalat"/>
                <w:b/>
                <w:bCs/>
                <w:color w:val="222A35" w:themeColor="text2" w:themeShade="80"/>
                <w:lang w:val="hy-AM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A8E1F7" w14:textId="64AB1E43" w:rsidR="00CC4EE8" w:rsidRDefault="00CC4EE8" w:rsidP="00CC4EE8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7A36323" w14:textId="77777777" w:rsidR="00CC4EE8" w:rsidRDefault="00CC4EE8" w:rsidP="00CC4EE8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</w:rPr>
              <w:t>6987.5/0.5</w:t>
            </w:r>
          </w:p>
          <w:p w14:paraId="5FF1C521" w14:textId="642BD3BF" w:rsidR="00CC4EE8" w:rsidRDefault="00CC4EE8" w:rsidP="00CC4EE8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8DA0FD" w14:textId="77777777" w:rsidR="00CC4EE8" w:rsidRDefault="00CC4EE8" w:rsidP="00CC4EE8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</w:rPr>
              <w:t>44433/1.45</w:t>
            </w:r>
          </w:p>
          <w:p w14:paraId="59245B54" w14:textId="006738A8" w:rsidR="00CC4EE8" w:rsidRDefault="00CC4EE8" w:rsidP="00CC4EE8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6D2082" w14:textId="77777777" w:rsidR="00CC4EE8" w:rsidRDefault="00CC4EE8" w:rsidP="00CC4EE8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</w:rPr>
              <w:t>28000/0.5</w:t>
            </w:r>
          </w:p>
          <w:p w14:paraId="62D08546" w14:textId="12F53896" w:rsidR="00CC4EE8" w:rsidRDefault="00CC4EE8" w:rsidP="00CC4EE8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097A5B" w14:textId="77777777" w:rsidR="00667454" w:rsidRDefault="00667454" w:rsidP="0066745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</w:rPr>
              <w:t>15500/1.3</w:t>
            </w:r>
          </w:p>
          <w:p w14:paraId="7495AD83" w14:textId="1DF8C0A7" w:rsidR="00CC4EE8" w:rsidRDefault="00CC4EE8" w:rsidP="00667454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</w:p>
        </w:tc>
      </w:tr>
    </w:tbl>
    <w:p w14:paraId="32CA5EEB" w14:textId="77777777" w:rsidR="006A0985" w:rsidRDefault="006A0985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b/>
          <w:bCs/>
          <w:color w:val="222A35" w:themeColor="text2" w:themeShade="80"/>
          <w:sz w:val="20"/>
          <w:szCs w:val="20"/>
          <w:lang w:val="hy-AM"/>
        </w:rPr>
      </w:pPr>
    </w:p>
    <w:p w14:paraId="684C9065" w14:textId="5D09AFCC" w:rsidR="009B4F24" w:rsidRPr="00AB75E2" w:rsidRDefault="00B04490" w:rsidP="009B4F24">
      <w:pPr>
        <w:shd w:val="clear" w:color="auto" w:fill="FFFFFF"/>
        <w:spacing w:after="0"/>
        <w:ind w:firstLine="567"/>
        <w:jc w:val="both"/>
        <w:rPr>
          <w:rFonts w:ascii="Cambria Math" w:hAnsi="Cambria Math"/>
          <w:b/>
          <w:bCs/>
          <w:i/>
          <w:color w:val="222A35" w:themeColor="text2" w:themeShade="80"/>
          <w:sz w:val="20"/>
          <w:szCs w:val="20"/>
          <w:lang w:val="hy-AM"/>
        </w:rPr>
      </w:pPr>
      <w:r>
        <w:rPr>
          <w:rFonts w:ascii="GHEA Grapalat" w:hAnsi="GHEA Grapalat"/>
          <w:b/>
          <w:bCs/>
          <w:i/>
          <w:color w:val="222A35" w:themeColor="text2" w:themeShade="80"/>
          <w:sz w:val="20"/>
          <w:szCs w:val="20"/>
          <w:lang w:val="hy-AM"/>
        </w:rPr>
        <w:t xml:space="preserve">2025 թվականին 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lang w:val="hy-AM"/>
        </w:rPr>
        <w:t>ը</w:t>
      </w:r>
      <w:r w:rsidR="0033031C">
        <w:rPr>
          <w:rFonts w:ascii="GHEA Grapalat" w:hAnsi="GHEA Grapalat"/>
          <w:b/>
          <w:bCs/>
          <w:color w:val="222A35" w:themeColor="text2" w:themeShade="80"/>
          <w:sz w:val="20"/>
          <w:szCs w:val="20"/>
          <w:lang w:val="hy-AM"/>
        </w:rPr>
        <w:t>ստ առանձին ստուգմանը հատկացված ֆինանսական միջոցները և մարդկային ռեսուրսներ</w:t>
      </w:r>
      <w:r>
        <w:rPr>
          <w:rFonts w:ascii="GHEA Grapalat" w:hAnsi="GHEA Grapalat"/>
          <w:b/>
          <w:bCs/>
          <w:color w:val="222A35" w:themeColor="text2" w:themeShade="80"/>
          <w:sz w:val="20"/>
          <w:szCs w:val="20"/>
          <w:lang w:val="hy-AM"/>
        </w:rPr>
        <w:t>ի</w:t>
      </w:r>
      <w:r w:rsidR="0033031C">
        <w:rPr>
          <w:rFonts w:ascii="GHEA Grapalat" w:hAnsi="GHEA Grapalat"/>
          <w:b/>
          <w:bCs/>
          <w:color w:val="222A35" w:themeColor="text2" w:themeShade="80"/>
          <w:sz w:val="20"/>
          <w:szCs w:val="20"/>
          <w:lang w:val="hy-AM"/>
        </w:rPr>
        <w:t xml:space="preserve"> </w:t>
      </w:r>
      <w:r w:rsidR="00156855" w:rsidRPr="00156855">
        <w:rPr>
          <w:rFonts w:ascii="GHEA Grapalat" w:hAnsi="GHEA Grapalat"/>
          <w:b/>
          <w:bCs/>
          <w:color w:val="222A35" w:themeColor="text2" w:themeShade="80"/>
          <w:sz w:val="20"/>
          <w:szCs w:val="20"/>
          <w:lang w:val="hy-AM"/>
        </w:rPr>
        <w:t>(</w:t>
      </w:r>
      <w:r w:rsidR="0033031C">
        <w:rPr>
          <w:rFonts w:ascii="GHEA Grapalat" w:hAnsi="GHEA Grapalat"/>
          <w:b/>
          <w:bCs/>
          <w:i/>
          <w:color w:val="222A35" w:themeColor="text2" w:themeShade="80"/>
          <w:sz w:val="20"/>
          <w:szCs w:val="20"/>
          <w:lang w:val="hy-AM"/>
        </w:rPr>
        <w:t>դրամ/աշխատակից</w:t>
      </w:r>
      <w:r w:rsidR="00156855" w:rsidRPr="00156855">
        <w:rPr>
          <w:rFonts w:ascii="GHEA Grapalat" w:hAnsi="GHEA Grapalat"/>
          <w:b/>
          <w:bCs/>
          <w:i/>
          <w:color w:val="222A35" w:themeColor="text2" w:themeShade="80"/>
          <w:sz w:val="20"/>
          <w:szCs w:val="20"/>
          <w:lang w:val="hy-AM"/>
        </w:rPr>
        <w:t>)</w:t>
      </w:r>
      <w:r w:rsidR="0033031C">
        <w:rPr>
          <w:rFonts w:ascii="GHEA Grapalat" w:hAnsi="GHEA Grapalat"/>
          <w:b/>
          <w:bCs/>
          <w:i/>
          <w:color w:val="222A35" w:themeColor="text2" w:themeShade="80"/>
          <w:sz w:val="20"/>
          <w:szCs w:val="20"/>
          <w:lang w:val="hy-AM"/>
        </w:rPr>
        <w:t xml:space="preserve"> տարեկան միջին ցուցանիշներ</w:t>
      </w:r>
      <w:r w:rsidR="00842A8F">
        <w:rPr>
          <w:rFonts w:ascii="GHEA Grapalat" w:hAnsi="GHEA Grapalat"/>
          <w:b/>
          <w:bCs/>
          <w:i/>
          <w:color w:val="222A35" w:themeColor="text2" w:themeShade="80"/>
          <w:sz w:val="20"/>
          <w:szCs w:val="20"/>
          <w:lang w:val="hy-AM"/>
        </w:rPr>
        <w:t>ը</w:t>
      </w:r>
      <w:r w:rsidR="00AB75E2">
        <w:rPr>
          <w:rFonts w:ascii="Cambria Math" w:hAnsi="Cambria Math"/>
          <w:b/>
          <w:bCs/>
          <w:i/>
          <w:color w:val="222A35" w:themeColor="text2" w:themeShade="80"/>
          <w:sz w:val="20"/>
          <w:szCs w:val="20"/>
          <w:lang w:val="hy-AM"/>
        </w:rPr>
        <w:t>․</w:t>
      </w:r>
    </w:p>
    <w:p w14:paraId="00BA52A3" w14:textId="77777777" w:rsidR="00520044" w:rsidRDefault="00520044" w:rsidP="00B04490">
      <w:pPr>
        <w:shd w:val="clear" w:color="auto" w:fill="FFFFFF"/>
        <w:spacing w:after="0"/>
        <w:ind w:firstLine="567"/>
        <w:rPr>
          <w:rFonts w:ascii="GHEA Grapalat" w:hAnsi="GHEA Grapalat"/>
          <w:b/>
          <w:color w:val="222A35" w:themeColor="text2" w:themeShade="80"/>
          <w:sz w:val="20"/>
          <w:szCs w:val="20"/>
          <w:u w:val="single"/>
          <w:lang w:val="hy-AM"/>
        </w:rPr>
      </w:pPr>
    </w:p>
    <w:p w14:paraId="761F238C" w14:textId="1AFD412E" w:rsidR="00520044" w:rsidRDefault="00520044" w:rsidP="00520044">
      <w:pPr>
        <w:shd w:val="clear" w:color="auto" w:fill="FFFFFF"/>
        <w:spacing w:after="0"/>
        <w:ind w:firstLine="567"/>
        <w:jc w:val="right"/>
        <w:rPr>
          <w:rFonts w:ascii="GHEA Grapalat" w:hAnsi="GHEA Grapalat"/>
          <w:b/>
          <w:color w:val="222A35" w:themeColor="text2" w:themeShade="80"/>
          <w:sz w:val="20"/>
          <w:szCs w:val="20"/>
          <w:u w:val="single"/>
          <w:lang w:val="hy-AM"/>
        </w:rPr>
      </w:pPr>
      <w:r w:rsidRPr="00C909A3">
        <w:rPr>
          <w:rFonts w:ascii="GHEA Grapalat" w:hAnsi="GHEA Grapalat"/>
          <w:b/>
          <w:color w:val="222A35" w:themeColor="text2" w:themeShade="80"/>
          <w:sz w:val="20"/>
          <w:szCs w:val="20"/>
          <w:u w:val="single"/>
          <w:lang w:val="hy-AM"/>
        </w:rPr>
        <w:t xml:space="preserve">Աղյուսակ </w:t>
      </w:r>
      <w:r>
        <w:rPr>
          <w:rFonts w:ascii="GHEA Grapalat" w:hAnsi="GHEA Grapalat"/>
          <w:b/>
          <w:color w:val="222A35" w:themeColor="text2" w:themeShade="80"/>
          <w:sz w:val="20"/>
          <w:szCs w:val="20"/>
          <w:u w:val="single"/>
          <w:lang w:val="hy-AM"/>
        </w:rPr>
        <w:t>10</w:t>
      </w:r>
    </w:p>
    <w:tbl>
      <w:tblPr>
        <w:tblStyle w:val="a8"/>
        <w:tblW w:w="10028" w:type="dxa"/>
        <w:tblInd w:w="13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833"/>
        <w:gridCol w:w="2636"/>
        <w:gridCol w:w="4559"/>
      </w:tblGrid>
      <w:tr w:rsidR="00F11177" w:rsidRPr="00E103A2" w14:paraId="770F767F" w14:textId="77777777" w:rsidTr="00842A8F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04FC3A" w14:textId="457BF583" w:rsidR="00F11177" w:rsidRDefault="00842A8F" w:rsidP="00C866BC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color w:val="222A35" w:themeColor="text2" w:themeShade="80"/>
                <w:sz w:val="20"/>
                <w:szCs w:val="20"/>
                <w:lang w:val="hy-AM"/>
              </w:rPr>
              <w:t>Նախադպրոցական ոլորտ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4CF21F" w14:textId="5ACE731A" w:rsidR="00F11177" w:rsidRPr="006B09EE" w:rsidRDefault="003F7ADD" w:rsidP="00C866BC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Հանրակրթութ</w:t>
            </w:r>
            <w:r w:rsidR="006A0985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յան ոլորտ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F159D0" w14:textId="4B70645B" w:rsidR="00F11177" w:rsidRDefault="006A0985" w:rsidP="00C866BC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Նախնական մասնագիտական և միջին մասնագիտական ոլորտ</w:t>
            </w:r>
          </w:p>
        </w:tc>
      </w:tr>
      <w:tr w:rsidR="00842A8F" w14:paraId="20B25C6B" w14:textId="77777777" w:rsidTr="00842A8F"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E73D5" w14:textId="513308D2" w:rsidR="00842A8F" w:rsidRDefault="00842A8F" w:rsidP="00842A8F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22853</w:t>
            </w:r>
            <w:r w:rsidR="003F7ADD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 xml:space="preserve"> դրամ</w:t>
            </w: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/1,1</w:t>
            </w:r>
            <w:r w:rsidR="003F7ADD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 xml:space="preserve"> ծառայող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12E5DEB" w14:textId="25FCBEF8" w:rsidR="00842A8F" w:rsidRDefault="00842A8F" w:rsidP="00842A8F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69015</w:t>
            </w:r>
            <w:r w:rsidR="003F7ADD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դրամ</w:t>
            </w: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/1,7</w:t>
            </w:r>
            <w:r w:rsidR="003F7ADD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ծառայող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D5A1F0" w14:textId="09C2F12F" w:rsidR="00842A8F" w:rsidRDefault="00842A8F" w:rsidP="00842A8F">
            <w:pPr>
              <w:pStyle w:val="a6"/>
              <w:spacing w:line="276" w:lineRule="auto"/>
              <w:ind w:left="0"/>
              <w:jc w:val="center"/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51450</w:t>
            </w:r>
            <w:r w:rsidR="003F7ADD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դրամ</w:t>
            </w:r>
            <w:r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/1,1</w:t>
            </w:r>
            <w:r w:rsidR="003F7ADD">
              <w:rPr>
                <w:rFonts w:ascii="GHEA Grapalat" w:hAnsi="GHEA Grapalat"/>
                <w:b/>
                <w:bCs/>
                <w:color w:val="222A35" w:themeColor="text2" w:themeShade="80"/>
                <w:sz w:val="20"/>
                <w:szCs w:val="20"/>
                <w:lang w:val="hy-AM"/>
              </w:rPr>
              <w:t>ծառայող</w:t>
            </w:r>
          </w:p>
        </w:tc>
      </w:tr>
    </w:tbl>
    <w:p w14:paraId="4D95DB25" w14:textId="77777777" w:rsidR="00F11177" w:rsidRDefault="00F11177" w:rsidP="009B4F24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14:paraId="5C4C5B24" w14:textId="77777777" w:rsidR="009B4F24" w:rsidRDefault="009B4F24" w:rsidP="009B4F24">
      <w:pPr>
        <w:shd w:val="clear" w:color="auto" w:fill="FFFFFF"/>
        <w:tabs>
          <w:tab w:val="left" w:pos="993"/>
        </w:tabs>
        <w:spacing w:after="0"/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4)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ab/>
        <w:t>Տեսչական մարմնի, տեսչական մարմնի աշխատակիցների դեմ բերված դիմում-բողոքների քանակը և դրանց արդյունքները։</w:t>
      </w:r>
    </w:p>
    <w:p w14:paraId="785155DB" w14:textId="77777777" w:rsidR="009B4F24" w:rsidRDefault="009B4F24" w:rsidP="009B4F24">
      <w:pPr>
        <w:ind w:firstLine="567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</w:p>
    <w:p w14:paraId="68FE5512" w14:textId="6A4EE4AF" w:rsidR="00472F4A" w:rsidRDefault="00472F4A" w:rsidP="00472F4A">
      <w:pPr>
        <w:ind w:firstLine="567"/>
        <w:jc w:val="both"/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</w:pPr>
      <w:r w:rsidRPr="00AE3507"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  <w:t>2025 թվականի</w:t>
      </w:r>
      <w:r w:rsidR="00944A99"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  <w:t>ն</w:t>
      </w:r>
      <w:r w:rsidRPr="00AE3507"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  <w:t xml:space="preserve"> տեսչական մարմնի աշխատակցի գործողության դեմ բերվել է 1 բողոք:</w:t>
      </w:r>
      <w:r>
        <w:rPr>
          <w:rFonts w:ascii="GHEA Grapalat" w:hAnsi="GHEA Grapalat" w:cs="Helvetica"/>
          <w:b/>
          <w:bCs/>
          <w:iCs/>
          <w:sz w:val="24"/>
          <w:szCs w:val="24"/>
          <w:shd w:val="clear" w:color="auto" w:fill="FFFFFF"/>
          <w:lang w:val="hy-AM"/>
        </w:rPr>
        <w:t xml:space="preserve"> </w:t>
      </w:r>
    </w:p>
    <w:p w14:paraId="001272A1" w14:textId="253A8CDF" w:rsidR="00472F4A" w:rsidRDefault="00472F4A" w:rsidP="00472F4A">
      <w:pPr>
        <w:ind w:firstLine="567"/>
        <w:jc w:val="both"/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</w:pPr>
      <w:r w:rsidRPr="00925B21"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  <w:t>Բողոքը վերաբերել է տեսչական մարմնի ծառայողի կողմից</w:t>
      </w:r>
      <w:r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Pr="00925B21"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  <w:t xml:space="preserve">վարչական </w:t>
      </w:r>
      <w:r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  <w:t>վա</w:t>
      </w:r>
      <w:r w:rsidRPr="00925B21"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  <w:t>ր</w:t>
      </w:r>
      <w:r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  <w:t>ո</w:t>
      </w:r>
      <w:r w:rsidRPr="00925B21"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  <w:t xml:space="preserve">ւյթի </w:t>
      </w:r>
      <w:r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  <w:t xml:space="preserve">ընթացքում դիմումատուին որպես վկա ներգրավելու գործողությանը: </w:t>
      </w:r>
    </w:p>
    <w:p w14:paraId="5EC42ADB" w14:textId="41487FAD" w:rsidR="00472F4A" w:rsidRPr="00961DB2" w:rsidRDefault="00472F4A" w:rsidP="00472F4A">
      <w:pPr>
        <w:ind w:firstLine="567"/>
        <w:jc w:val="both"/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  <w:t>Տ</w:t>
      </w:r>
      <w:r w:rsidRPr="00961DB2">
        <w:rPr>
          <w:rFonts w:ascii="GHEA Grapalat" w:hAnsi="GHEA Grapalat" w:cs="Helvetica"/>
          <w:bCs/>
          <w:iCs/>
          <w:sz w:val="24"/>
          <w:szCs w:val="24"/>
          <w:shd w:val="clear" w:color="auto" w:fill="FFFFFF"/>
          <w:lang w:val="hy-AM"/>
        </w:rPr>
        <w:t>եսչական մարմինը դիմումատուին ներկայացրել է</w:t>
      </w:r>
      <w:r w:rsidRPr="00961DB2">
        <w:rPr>
          <w:rFonts w:ascii="GHEA Grapalat" w:hAnsi="GHEA Grapalat"/>
          <w:i/>
          <w:sz w:val="24"/>
          <w:lang w:val="hy-AM"/>
        </w:rPr>
        <w:t xml:space="preserve"> </w:t>
      </w:r>
      <w:r w:rsidRPr="00961DB2">
        <w:rPr>
          <w:rFonts w:ascii="GHEA Grapalat" w:hAnsi="GHEA Grapalat"/>
          <w:sz w:val="24"/>
          <w:lang w:val="hy-AM"/>
        </w:rPr>
        <w:t>փաստարկի առնչությամբ «Վարչարարության հիմունքների և վարչական վարույթի մասին» օրենքի այն իրավակարգավորումները</w:t>
      </w:r>
      <w:r w:rsidRPr="00961DB2">
        <w:rPr>
          <w:rFonts w:ascii="Cambria Math" w:hAnsi="Cambria Math" w:cs="Cambria Math"/>
          <w:sz w:val="24"/>
          <w:lang w:val="hy-AM"/>
        </w:rPr>
        <w:t>․</w:t>
      </w:r>
      <w:r w:rsidRPr="00961DB2">
        <w:rPr>
          <w:rFonts w:ascii="GHEA Grapalat" w:hAnsi="GHEA Grapalat" w:cs="Cambria Math"/>
          <w:sz w:val="24"/>
          <w:lang w:val="hy-AM"/>
        </w:rPr>
        <w:t xml:space="preserve"> որոնք վերաբերում են վարչական վարույթի ընթաց</w:t>
      </w:r>
      <w:r>
        <w:rPr>
          <w:rFonts w:ascii="GHEA Grapalat" w:hAnsi="GHEA Grapalat" w:cs="Cambria Math"/>
          <w:sz w:val="24"/>
          <w:lang w:val="hy-AM"/>
        </w:rPr>
        <w:t>ք</w:t>
      </w:r>
      <w:r w:rsidRPr="00961DB2">
        <w:rPr>
          <w:rFonts w:ascii="GHEA Grapalat" w:hAnsi="GHEA Grapalat" w:cs="Cambria Math"/>
          <w:sz w:val="24"/>
          <w:lang w:val="hy-AM"/>
        </w:rPr>
        <w:t>ում մասնակի</w:t>
      </w:r>
      <w:r>
        <w:rPr>
          <w:rFonts w:ascii="GHEA Grapalat" w:hAnsi="GHEA Grapalat" w:cs="Cambria Math"/>
          <w:sz w:val="24"/>
          <w:lang w:val="hy-AM"/>
        </w:rPr>
        <w:t>ց</w:t>
      </w:r>
      <w:r w:rsidRPr="00961DB2">
        <w:rPr>
          <w:rFonts w:ascii="GHEA Grapalat" w:hAnsi="GHEA Grapalat" w:cs="Cambria Math"/>
          <w:sz w:val="24"/>
          <w:lang w:val="hy-AM"/>
        </w:rPr>
        <w:t xml:space="preserve"> կամ վկա հանդես գալու դեպքերին: Եվ որպես եզրակացություն նշ</w:t>
      </w:r>
      <w:r>
        <w:rPr>
          <w:rFonts w:ascii="GHEA Grapalat" w:hAnsi="GHEA Grapalat" w:cs="Cambria Math"/>
          <w:sz w:val="24"/>
          <w:lang w:val="hy-AM"/>
        </w:rPr>
        <w:t>ել</w:t>
      </w:r>
      <w:r w:rsidRPr="00961DB2">
        <w:rPr>
          <w:rFonts w:ascii="GHEA Grapalat" w:hAnsi="GHEA Grapalat" w:cs="Cambria Math"/>
          <w:sz w:val="24"/>
          <w:lang w:val="hy-AM"/>
        </w:rPr>
        <w:t xml:space="preserve"> է, որ, քանի որ դիմումատուն արդեն իսկ տեսչական մարմնին հայտնել է, որ այլ </w:t>
      </w:r>
      <w:r w:rsidRPr="00961DB2">
        <w:rPr>
          <w:rFonts w:ascii="GHEA Grapalat" w:hAnsi="GHEA Grapalat" w:cs="Cambria Math"/>
          <w:sz w:val="24"/>
          <w:lang w:val="hy-AM"/>
        </w:rPr>
        <w:lastRenderedPageBreak/>
        <w:t>տեղեկություններ չունի, ուստի</w:t>
      </w:r>
      <w:r w:rsidRPr="00961DB2">
        <w:rPr>
          <w:rFonts w:ascii="GHEA Grapalat" w:hAnsi="GHEA Grapalat"/>
          <w:sz w:val="24"/>
          <w:lang w:val="hy-AM"/>
        </w:rPr>
        <w:t xml:space="preserve"> վարույթի շրջանակում վկայություն տալու անհրաժեշտությունն այլևս վերացած է։</w:t>
      </w:r>
    </w:p>
    <w:p w14:paraId="2D5E7C54" w14:textId="77777777" w:rsidR="00A95FFD" w:rsidRDefault="00A95FFD" w:rsidP="00A95FFD">
      <w:pPr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b"/>
        </w:rPr>
        <w:t/>
      </w:r>
      <w:r w:rsidRPr="00FF6534">
        <w:rPr>
          <w:rFonts w:ascii="GHEA Grapalat" w:hAnsi="GHEA Grapalat"/>
          <w:color w:val="000000"/>
          <w:sz w:val="24"/>
          <w:szCs w:val="24"/>
          <w:lang w:val="hy-AM"/>
        </w:rPr>
        <w:t xml:space="preserve">2024 թվականի ընթացքում տեսչական մարմնի դեմ բերվել է </w:t>
      </w:r>
      <w:r w:rsidRPr="00AE584C">
        <w:rPr>
          <w:rFonts w:ascii="GHEA Grapalat" w:hAnsi="GHEA Grapalat"/>
          <w:color w:val="000000"/>
          <w:sz w:val="24"/>
          <w:szCs w:val="24"/>
          <w:lang w:val="hy-AM"/>
        </w:rPr>
        <w:t>2</w:t>
      </w:r>
      <w:r w:rsidRPr="00630E99">
        <w:rPr>
          <w:rFonts w:ascii="GHEA Grapalat" w:hAnsi="GHEA Grapalat"/>
          <w:color w:val="000000"/>
          <w:sz w:val="24"/>
          <w:szCs w:val="24"/>
          <w:lang w:val="hy-AM"/>
        </w:rPr>
        <w:t xml:space="preserve"> բողոք՝</w:t>
      </w:r>
      <w:r w:rsidRPr="00FF6534">
        <w:rPr>
          <w:rFonts w:ascii="GHEA Grapalat" w:hAnsi="GHEA Grapalat"/>
          <w:color w:val="000000"/>
          <w:sz w:val="24"/>
          <w:szCs w:val="24"/>
          <w:lang w:val="hy-AM"/>
        </w:rPr>
        <w:t xml:space="preserve"> տեսչական մարմնի ղեկավարի կարգադրագիրը անվավեր ճանաչելու պահանջով, որը</w:t>
      </w:r>
      <w:r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տ</w:t>
      </w:r>
      <w:r>
        <w:rPr>
          <w:rFonts w:ascii="GHEA Grapalat" w:hAnsi="GHEA Grapalat"/>
          <w:sz w:val="24"/>
          <w:szCs w:val="24"/>
          <w:lang w:val="hy-AM"/>
        </w:rPr>
        <w:t>եսչական մարմնի ղեկավարի որոշմամբ մերժվել է և կարգադրությունը թողնվել</w:t>
      </w:r>
      <w:r w:rsidRPr="004E43C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է</w:t>
      </w:r>
      <w:r w:rsidRPr="004E43C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անփոփոխ:</w:t>
      </w:r>
    </w:p>
    <w:p w14:paraId="1CD45E63" w14:textId="77777777" w:rsidR="00A95FFD" w:rsidRPr="00FF6534" w:rsidRDefault="00A95FFD" w:rsidP="00A95FFD">
      <w:pPr>
        <w:ind w:firstLine="567"/>
        <w:jc w:val="both"/>
        <w:rPr>
          <w:rFonts w:ascii="GHEA Grapalat" w:hAnsi="GHEA Grapalat" w:cs="Helvetica"/>
          <w:b/>
          <w:bCs/>
          <w:iCs/>
          <w:color w:val="FF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Տեսչական մարմնի աշխատակց</w:t>
      </w:r>
      <w:r w:rsidRPr="00AE584C">
        <w:rPr>
          <w:rFonts w:ascii="GHEA Grapalat" w:hAnsi="GHEA Grapalat"/>
          <w:sz w:val="24"/>
          <w:szCs w:val="24"/>
          <w:lang w:val="hy-AM"/>
        </w:rPr>
        <w:t>ի</w:t>
      </w:r>
      <w:r>
        <w:rPr>
          <w:rFonts w:ascii="GHEA Grapalat" w:hAnsi="GHEA Grapalat"/>
          <w:sz w:val="24"/>
          <w:szCs w:val="24"/>
          <w:lang w:val="hy-AM"/>
        </w:rPr>
        <w:t xml:space="preserve"> դեմ ևս բերվել է 1 բողոք, որի վերաբերյալ համապատասխան ծառայողը ներկայացրել է բացատրություն:</w:t>
      </w:r>
    </w:p>
    <w:p w14:paraId="1A35B477" w14:textId="77777777" w:rsidR="00A95FFD" w:rsidRPr="0083452C" w:rsidRDefault="00A95FFD" w:rsidP="00A95FFD">
      <w:pPr>
        <w:pStyle w:val="ac"/>
        <w:rPr>
          <w:lang w:val="hy-AM"/>
        </w:rPr>
      </w:pPr>
    </w:p>
    <w:p w14:paraId="3DEEE3EA" w14:textId="77777777" w:rsidR="002A316B" w:rsidRDefault="002A316B" w:rsidP="002A316B">
      <w:pPr>
        <w:pStyle w:val="a9"/>
        <w:ind w:left="360"/>
        <w:rPr>
          <w:lang w:val="hy-AM"/>
        </w:rPr>
      </w:pPr>
      <w:r>
        <w:rPr>
          <w:lang w:val="hy-AM"/>
        </w:rPr>
        <w:t xml:space="preserve">*2 կրթական ծրագրով`  (նախնական մասնագիտական (արհեստագործական) և միջին մասնագիտական) իրականացվել է միասնական 1 գործողություն </w:t>
      </w:r>
    </w:p>
    <w:p w14:paraId="78B7BA7A" w14:textId="14EEFF4C" w:rsidR="00794984" w:rsidRPr="009B4F24" w:rsidRDefault="00794984">
      <w:pPr>
        <w:rPr>
          <w:lang w:val="hy-AM"/>
        </w:rPr>
      </w:pPr>
    </w:p>
    <w:sectPr w:rsidR="00794984" w:rsidRPr="009B4F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47864" w14:textId="77777777" w:rsidR="0093315B" w:rsidRDefault="0093315B" w:rsidP="009B4F24">
      <w:pPr>
        <w:spacing w:after="0" w:line="240" w:lineRule="auto"/>
      </w:pPr>
      <w:r>
        <w:separator/>
      </w:r>
    </w:p>
  </w:endnote>
  <w:endnote w:type="continuationSeparator" w:id="0">
    <w:p w14:paraId="10E1DC03" w14:textId="77777777" w:rsidR="0093315B" w:rsidRDefault="0093315B" w:rsidP="009B4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00002FF" w:usb1="5000205B" w:usb2="00000001" w:usb3="00000000" w:csb0="000001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DF0BE3" w14:textId="77777777" w:rsidR="0093315B" w:rsidRDefault="0093315B" w:rsidP="009B4F24">
      <w:pPr>
        <w:spacing w:after="0" w:line="240" w:lineRule="auto"/>
      </w:pPr>
      <w:r>
        <w:separator/>
      </w:r>
    </w:p>
  </w:footnote>
  <w:footnote w:type="continuationSeparator" w:id="0">
    <w:p w14:paraId="2F580D48" w14:textId="77777777" w:rsidR="0093315B" w:rsidRDefault="0093315B" w:rsidP="009B4F24">
      <w:pPr>
        <w:spacing w:after="0" w:line="240" w:lineRule="auto"/>
      </w:pPr>
      <w:r>
        <w:continuationSeparator/>
      </w:r>
    </w:p>
  </w:footnote>
  <w:footnote w:id="1">
    <w:p w14:paraId="10EB5FA6" w14:textId="77777777" w:rsidR="009B4F24" w:rsidRDefault="009B4F24" w:rsidP="009B4F24">
      <w:pPr>
        <w:pStyle w:val="a4"/>
        <w:jc w:val="both"/>
        <w:rPr>
          <w:rFonts w:ascii="Calibri" w:hAnsi="Calibri"/>
          <w:sz w:val="20"/>
          <w:szCs w:val="20"/>
          <w:lang w:val="hy-AM"/>
        </w:rPr>
      </w:pPr>
      <w:r>
        <w:rPr>
          <w:rStyle w:val="a7"/>
        </w:rPr>
        <w:footnoteRef/>
      </w:r>
      <w:r>
        <w:rPr>
          <w:lang w:val="hy-AM"/>
        </w:rPr>
        <w:t xml:space="preserve"> Այն ստուգումները, որոնց դեպքում կիրառված ստուգաթերթերի կիրառված կետերի «ոչ» պատասխանների թիվը 80 և ավելի տոկոս է։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0C5362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68CC23FF"/>
    <w:multiLevelType w:val="multilevel"/>
    <w:tmpl w:val="EC5402CE"/>
    <w:lvl w:ilvl="0">
      <w:start w:val="1"/>
      <w:numFmt w:val="decimal"/>
      <w:lvlText w:val="%1."/>
      <w:lvlJc w:val="left"/>
      <w:pPr>
        <w:ind w:left="465" w:hanging="465"/>
      </w:pPr>
      <w:rPr>
        <w:rFonts w:cs="Times New Roman"/>
        <w:b/>
      </w:rPr>
    </w:lvl>
    <w:lvl w:ilvl="1">
      <w:start w:val="1"/>
      <w:numFmt w:val="decimal"/>
      <w:lvlText w:val="%2)"/>
      <w:lvlJc w:val="left"/>
      <w:pPr>
        <w:ind w:left="1146" w:hanging="720"/>
      </w:pPr>
      <w:rPr>
        <w:b/>
        <w:i w:val="0"/>
      </w:rPr>
    </w:lvl>
    <w:lvl w:ilvl="2">
      <w:start w:val="1"/>
      <w:numFmt w:val="decimal"/>
      <w:lvlText w:val="%1.%2)%3."/>
      <w:lvlJc w:val="left"/>
      <w:pPr>
        <w:ind w:left="1470" w:hanging="720"/>
      </w:pPr>
      <w:rPr>
        <w:rFonts w:cs="Times New Roman"/>
        <w:b/>
      </w:rPr>
    </w:lvl>
    <w:lvl w:ilvl="3">
      <w:start w:val="1"/>
      <w:numFmt w:val="decimal"/>
      <w:lvlText w:val="%1.%2)%3.%4."/>
      <w:lvlJc w:val="left"/>
      <w:pPr>
        <w:ind w:left="2205" w:hanging="1080"/>
      </w:pPr>
      <w:rPr>
        <w:rFonts w:cs="Times New Roman"/>
        <w:b/>
      </w:rPr>
    </w:lvl>
    <w:lvl w:ilvl="4">
      <w:start w:val="1"/>
      <w:numFmt w:val="decimal"/>
      <w:lvlText w:val="%1.%2)%3.%4.%5."/>
      <w:lvlJc w:val="left"/>
      <w:pPr>
        <w:ind w:left="2580" w:hanging="1080"/>
      </w:pPr>
      <w:rPr>
        <w:rFonts w:cs="Times New Roman"/>
        <w:b/>
      </w:rPr>
    </w:lvl>
    <w:lvl w:ilvl="5">
      <w:start w:val="1"/>
      <w:numFmt w:val="decimal"/>
      <w:lvlText w:val="%1.%2)%3.%4.%5.%6."/>
      <w:lvlJc w:val="left"/>
      <w:pPr>
        <w:ind w:left="3315" w:hanging="1440"/>
      </w:pPr>
      <w:rPr>
        <w:rFonts w:cs="Times New Roman"/>
        <w:b/>
      </w:rPr>
    </w:lvl>
    <w:lvl w:ilvl="6">
      <w:start w:val="1"/>
      <w:numFmt w:val="decimal"/>
      <w:lvlText w:val="%1.%2)%3.%4.%5.%6.%7."/>
      <w:lvlJc w:val="left"/>
      <w:pPr>
        <w:ind w:left="3690" w:hanging="1440"/>
      </w:pPr>
      <w:rPr>
        <w:rFonts w:cs="Times New Roman"/>
        <w:b/>
      </w:rPr>
    </w:lvl>
    <w:lvl w:ilvl="7">
      <w:start w:val="1"/>
      <w:numFmt w:val="decimal"/>
      <w:lvlText w:val="%1.%2)%3.%4.%5.%6.%7.%8."/>
      <w:lvlJc w:val="left"/>
      <w:pPr>
        <w:ind w:left="4425" w:hanging="1800"/>
      </w:pPr>
      <w:rPr>
        <w:rFonts w:cs="Times New Roman"/>
        <w:b/>
      </w:rPr>
    </w:lvl>
    <w:lvl w:ilvl="8">
      <w:start w:val="1"/>
      <w:numFmt w:val="decimal"/>
      <w:lvlText w:val="%1.%2)%3.%4.%5.%6.%7.%8.%9."/>
      <w:lvlJc w:val="left"/>
      <w:pPr>
        <w:ind w:left="4800" w:hanging="1800"/>
      </w:pPr>
      <w:rPr>
        <w:rFonts w:cs="Times New Roman"/>
        <w:b/>
      </w:rPr>
    </w:lvl>
  </w:abstractNum>
  <w:abstractNum w:abstractNumId="2" w15:restartNumberingAfterBreak="0">
    <w:nsid w:val="75BB5336"/>
    <w:multiLevelType w:val="hybridMultilevel"/>
    <w:tmpl w:val="B5C856F8"/>
    <w:lvl w:ilvl="0" w:tplc="FBE88966">
      <w:start w:val="1"/>
      <w:numFmt w:val="decimal"/>
      <w:lvlText w:val="%1."/>
      <w:lvlJc w:val="left"/>
      <w:pPr>
        <w:ind w:left="360" w:hanging="360"/>
      </w:pPr>
      <w:rPr>
        <w:i/>
      </w:r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>
      <w:start w:val="1"/>
      <w:numFmt w:val="lowerRoman"/>
      <w:lvlText w:val="%3."/>
      <w:lvlJc w:val="right"/>
      <w:pPr>
        <w:ind w:left="1876" w:hanging="180"/>
      </w:pPr>
    </w:lvl>
    <w:lvl w:ilvl="3" w:tplc="0809000F">
      <w:start w:val="1"/>
      <w:numFmt w:val="decimal"/>
      <w:lvlText w:val="%4."/>
      <w:lvlJc w:val="left"/>
      <w:pPr>
        <w:ind w:left="2596" w:hanging="360"/>
      </w:pPr>
    </w:lvl>
    <w:lvl w:ilvl="4" w:tplc="08090019">
      <w:start w:val="1"/>
      <w:numFmt w:val="lowerLetter"/>
      <w:lvlText w:val="%5."/>
      <w:lvlJc w:val="left"/>
      <w:pPr>
        <w:ind w:left="3316" w:hanging="360"/>
      </w:pPr>
    </w:lvl>
    <w:lvl w:ilvl="5" w:tplc="0809001B">
      <w:start w:val="1"/>
      <w:numFmt w:val="lowerRoman"/>
      <w:lvlText w:val="%6."/>
      <w:lvlJc w:val="right"/>
      <w:pPr>
        <w:ind w:left="4036" w:hanging="180"/>
      </w:pPr>
    </w:lvl>
    <w:lvl w:ilvl="6" w:tplc="0809000F">
      <w:start w:val="1"/>
      <w:numFmt w:val="decimal"/>
      <w:lvlText w:val="%7."/>
      <w:lvlJc w:val="left"/>
      <w:pPr>
        <w:ind w:left="4756" w:hanging="360"/>
      </w:pPr>
    </w:lvl>
    <w:lvl w:ilvl="7" w:tplc="08090019">
      <w:start w:val="1"/>
      <w:numFmt w:val="lowerLetter"/>
      <w:lvlText w:val="%8."/>
      <w:lvlJc w:val="left"/>
      <w:pPr>
        <w:ind w:left="5476" w:hanging="360"/>
      </w:pPr>
    </w:lvl>
    <w:lvl w:ilvl="8" w:tplc="080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984"/>
    <w:rsid w:val="00002DF9"/>
    <w:rsid w:val="00027634"/>
    <w:rsid w:val="00042B66"/>
    <w:rsid w:val="000437EC"/>
    <w:rsid w:val="00062107"/>
    <w:rsid w:val="00062752"/>
    <w:rsid w:val="000666F8"/>
    <w:rsid w:val="000C701F"/>
    <w:rsid w:val="000D0C9F"/>
    <w:rsid w:val="000D75FA"/>
    <w:rsid w:val="000E5218"/>
    <w:rsid w:val="000F183B"/>
    <w:rsid w:val="00110AE1"/>
    <w:rsid w:val="001115C2"/>
    <w:rsid w:val="00142407"/>
    <w:rsid w:val="00156855"/>
    <w:rsid w:val="001B2915"/>
    <w:rsid w:val="002222B6"/>
    <w:rsid w:val="002250B9"/>
    <w:rsid w:val="00255F0A"/>
    <w:rsid w:val="00260827"/>
    <w:rsid w:val="00280B7B"/>
    <w:rsid w:val="002A316B"/>
    <w:rsid w:val="002A48F6"/>
    <w:rsid w:val="002C66EB"/>
    <w:rsid w:val="002D4583"/>
    <w:rsid w:val="002D50A2"/>
    <w:rsid w:val="002E21C0"/>
    <w:rsid w:val="002F05AC"/>
    <w:rsid w:val="00314296"/>
    <w:rsid w:val="00316520"/>
    <w:rsid w:val="003215F5"/>
    <w:rsid w:val="00321D8A"/>
    <w:rsid w:val="0033031C"/>
    <w:rsid w:val="0033753C"/>
    <w:rsid w:val="00375438"/>
    <w:rsid w:val="003807CB"/>
    <w:rsid w:val="003812CF"/>
    <w:rsid w:val="003B49F1"/>
    <w:rsid w:val="003C323F"/>
    <w:rsid w:val="003D6863"/>
    <w:rsid w:val="003F7ADD"/>
    <w:rsid w:val="0040474A"/>
    <w:rsid w:val="00407C74"/>
    <w:rsid w:val="0041571C"/>
    <w:rsid w:val="004205F5"/>
    <w:rsid w:val="0043408F"/>
    <w:rsid w:val="00435E41"/>
    <w:rsid w:val="00440833"/>
    <w:rsid w:val="00472F4A"/>
    <w:rsid w:val="004913BE"/>
    <w:rsid w:val="004B6593"/>
    <w:rsid w:val="004B6A89"/>
    <w:rsid w:val="004C018B"/>
    <w:rsid w:val="004D2366"/>
    <w:rsid w:val="00520044"/>
    <w:rsid w:val="00526F00"/>
    <w:rsid w:val="00543E67"/>
    <w:rsid w:val="0057141E"/>
    <w:rsid w:val="005720F2"/>
    <w:rsid w:val="00590820"/>
    <w:rsid w:val="005B5892"/>
    <w:rsid w:val="005C2453"/>
    <w:rsid w:val="00610EDD"/>
    <w:rsid w:val="006549F3"/>
    <w:rsid w:val="00667454"/>
    <w:rsid w:val="0067356F"/>
    <w:rsid w:val="006773F5"/>
    <w:rsid w:val="00683DCF"/>
    <w:rsid w:val="00686312"/>
    <w:rsid w:val="006A0143"/>
    <w:rsid w:val="006A0985"/>
    <w:rsid w:val="006A2765"/>
    <w:rsid w:val="006B09EE"/>
    <w:rsid w:val="006B5E28"/>
    <w:rsid w:val="006D1C3E"/>
    <w:rsid w:val="00701A69"/>
    <w:rsid w:val="00702D0F"/>
    <w:rsid w:val="00714BE1"/>
    <w:rsid w:val="00716A7E"/>
    <w:rsid w:val="00772981"/>
    <w:rsid w:val="007775D4"/>
    <w:rsid w:val="00794984"/>
    <w:rsid w:val="00796A2F"/>
    <w:rsid w:val="007A22C5"/>
    <w:rsid w:val="007D5719"/>
    <w:rsid w:val="007F4933"/>
    <w:rsid w:val="008174F8"/>
    <w:rsid w:val="0083452C"/>
    <w:rsid w:val="00842A8F"/>
    <w:rsid w:val="00847E05"/>
    <w:rsid w:val="008D3757"/>
    <w:rsid w:val="008F3495"/>
    <w:rsid w:val="00903B3A"/>
    <w:rsid w:val="00917599"/>
    <w:rsid w:val="0093315B"/>
    <w:rsid w:val="00944A99"/>
    <w:rsid w:val="00992F73"/>
    <w:rsid w:val="00997D3D"/>
    <w:rsid w:val="009B41A4"/>
    <w:rsid w:val="009B4F24"/>
    <w:rsid w:val="009D665C"/>
    <w:rsid w:val="009F4C20"/>
    <w:rsid w:val="00A103BA"/>
    <w:rsid w:val="00A432C4"/>
    <w:rsid w:val="00A43D4F"/>
    <w:rsid w:val="00A51204"/>
    <w:rsid w:val="00A56728"/>
    <w:rsid w:val="00A571E2"/>
    <w:rsid w:val="00A67BD4"/>
    <w:rsid w:val="00A72F14"/>
    <w:rsid w:val="00A95FFD"/>
    <w:rsid w:val="00AB4120"/>
    <w:rsid w:val="00AB5A82"/>
    <w:rsid w:val="00AB75E2"/>
    <w:rsid w:val="00AE2743"/>
    <w:rsid w:val="00AF6BD7"/>
    <w:rsid w:val="00B04490"/>
    <w:rsid w:val="00B103E0"/>
    <w:rsid w:val="00B3572F"/>
    <w:rsid w:val="00B35DCD"/>
    <w:rsid w:val="00B4500A"/>
    <w:rsid w:val="00B5072B"/>
    <w:rsid w:val="00B86A8B"/>
    <w:rsid w:val="00BB15E3"/>
    <w:rsid w:val="00BB29B4"/>
    <w:rsid w:val="00BC5A61"/>
    <w:rsid w:val="00BE2AAD"/>
    <w:rsid w:val="00BE6E8E"/>
    <w:rsid w:val="00C00AE0"/>
    <w:rsid w:val="00C24C36"/>
    <w:rsid w:val="00C5022A"/>
    <w:rsid w:val="00C72589"/>
    <w:rsid w:val="00C75A31"/>
    <w:rsid w:val="00C909A3"/>
    <w:rsid w:val="00C97DDC"/>
    <w:rsid w:val="00CB11F2"/>
    <w:rsid w:val="00CC4B84"/>
    <w:rsid w:val="00CC4EE8"/>
    <w:rsid w:val="00CF4269"/>
    <w:rsid w:val="00D0070D"/>
    <w:rsid w:val="00D07028"/>
    <w:rsid w:val="00D127E5"/>
    <w:rsid w:val="00D5057D"/>
    <w:rsid w:val="00D63474"/>
    <w:rsid w:val="00D9011C"/>
    <w:rsid w:val="00D961D2"/>
    <w:rsid w:val="00DA218E"/>
    <w:rsid w:val="00DA23E1"/>
    <w:rsid w:val="00DA529E"/>
    <w:rsid w:val="00DF1CAF"/>
    <w:rsid w:val="00DF6D2D"/>
    <w:rsid w:val="00E103A2"/>
    <w:rsid w:val="00E224ED"/>
    <w:rsid w:val="00E31AB1"/>
    <w:rsid w:val="00E6257D"/>
    <w:rsid w:val="00E6721B"/>
    <w:rsid w:val="00E709D9"/>
    <w:rsid w:val="00E86B26"/>
    <w:rsid w:val="00E93D63"/>
    <w:rsid w:val="00EA31AE"/>
    <w:rsid w:val="00EA5184"/>
    <w:rsid w:val="00EA6687"/>
    <w:rsid w:val="00EB2ABA"/>
    <w:rsid w:val="00EE2355"/>
    <w:rsid w:val="00F038FF"/>
    <w:rsid w:val="00F11177"/>
    <w:rsid w:val="00F31B67"/>
    <w:rsid w:val="00F32169"/>
    <w:rsid w:val="00F45CDE"/>
    <w:rsid w:val="00F4760A"/>
    <w:rsid w:val="00F66247"/>
    <w:rsid w:val="00F92EE2"/>
    <w:rsid w:val="00F9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679A"/>
  <w15:chartTrackingRefBased/>
  <w15:docId w15:val="{A79EF4A2-68C3-416D-8FFE-6808C3D7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F2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9B4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4F2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customStyle="1" w:styleId="a3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,Знак Знак"/>
    <w:link w:val="a4"/>
    <w:uiPriority w:val="99"/>
    <w:semiHidden/>
    <w:locked/>
    <w:rsid w:val="009B4F24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a"/>
    <w:link w:val="a3"/>
    <w:uiPriority w:val="99"/>
    <w:semiHidden/>
    <w:unhideWhenUsed/>
    <w:qFormat/>
    <w:rsid w:val="009B4F24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5">
    <w:name w:val="Абзац списка Знак"/>
    <w:aliases w:val="OBC Bullet Знак,List Paragraph11 Знак,Normal numbered Знак,Table no. List Paragraph Знак,Akapit z listą BS Знак,List Paragraph 1 Знак,List Paragraph1 Знак,List_Paragraph Знак,Multilevel para_II Знак,Bullet1 Знак,Bullets Знак"/>
    <w:link w:val="a6"/>
    <w:uiPriority w:val="34"/>
    <w:locked/>
    <w:rsid w:val="009B4F2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aliases w:val="OBC Bullet,List Paragraph11,Normal numbered,Table no. List Paragraph,Akapit z listą BS,List Paragraph 1,List Paragraph1,List_Paragraph,Multilevel para_II,Bullet1,Bullets,References,List Paragraph (numbered (a)),IBL List Paragraph"/>
    <w:basedOn w:val="a"/>
    <w:link w:val="a5"/>
    <w:uiPriority w:val="34"/>
    <w:qFormat/>
    <w:rsid w:val="009B4F2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7">
    <w:name w:val="footnote reference"/>
    <w:uiPriority w:val="99"/>
    <w:semiHidden/>
    <w:unhideWhenUsed/>
    <w:rsid w:val="009B4F24"/>
    <w:rPr>
      <w:vertAlign w:val="superscript"/>
    </w:rPr>
  </w:style>
  <w:style w:type="table" w:styleId="a8">
    <w:name w:val="Table Grid"/>
    <w:basedOn w:val="a1"/>
    <w:uiPriority w:val="59"/>
    <w:rsid w:val="009B4F24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2A316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val="en-GB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A316B"/>
    <w:rPr>
      <w:sz w:val="20"/>
      <w:szCs w:val="20"/>
      <w:lang w:val="en-GB"/>
    </w:rPr>
  </w:style>
  <w:style w:type="character" w:styleId="ab">
    <w:name w:val="annotation reference"/>
    <w:basedOn w:val="a0"/>
    <w:uiPriority w:val="99"/>
    <w:semiHidden/>
    <w:unhideWhenUsed/>
    <w:rsid w:val="0083452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3452C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3452C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3452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3452C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8345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83452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5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1663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Zaruhi Miqaelyan</cp:lastModifiedBy>
  <cp:revision>18</cp:revision>
  <dcterms:created xsi:type="dcterms:W3CDTF">2026-01-23T09:28:00Z</dcterms:created>
  <dcterms:modified xsi:type="dcterms:W3CDTF">2026-02-02T05:43:00Z</dcterms:modified>
</cp:coreProperties>
</file>